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6396" w14:textId="77777777" w:rsidR="00DC2C94" w:rsidRPr="0066550A" w:rsidRDefault="00610A5F" w:rsidP="003D5758">
      <w:pPr>
        <w:adjustRightInd w:val="0"/>
        <w:snapToGrid w:val="0"/>
        <w:jc w:val="center"/>
        <w:rPr>
          <w:rFonts w:eastAsia="Garamond"/>
          <w:b/>
          <w:color w:val="000000" w:themeColor="text1"/>
          <w:sz w:val="28"/>
          <w:szCs w:val="28"/>
        </w:rPr>
      </w:pPr>
      <w:r w:rsidRPr="0066550A">
        <w:rPr>
          <w:rFonts w:eastAsia="Garamond"/>
          <w:b/>
          <w:color w:val="000000" w:themeColor="text1"/>
          <w:sz w:val="28"/>
          <w:szCs w:val="28"/>
        </w:rPr>
        <w:t>Publications</w:t>
      </w:r>
      <w:r w:rsidR="003D5758" w:rsidRPr="0066550A">
        <w:rPr>
          <w:rFonts w:eastAsia="Garamond"/>
          <w:b/>
          <w:color w:val="000000" w:themeColor="text1"/>
          <w:sz w:val="28"/>
          <w:szCs w:val="28"/>
        </w:rPr>
        <w:t xml:space="preserve"> </w:t>
      </w:r>
    </w:p>
    <w:p w14:paraId="0CBD330F" w14:textId="77777777" w:rsidR="003D5758" w:rsidRPr="0066550A" w:rsidRDefault="003D5758" w:rsidP="003D5758">
      <w:pPr>
        <w:adjustRightInd w:val="0"/>
        <w:snapToGrid w:val="0"/>
        <w:jc w:val="center"/>
        <w:rPr>
          <w:rFonts w:eastAsia="Garamond"/>
          <w:b/>
          <w:color w:val="000000" w:themeColor="text1"/>
          <w:sz w:val="28"/>
          <w:szCs w:val="28"/>
        </w:rPr>
      </w:pPr>
    </w:p>
    <w:p w14:paraId="515C7F52" w14:textId="77777777" w:rsidR="00610A5F" w:rsidRDefault="00610A5F" w:rsidP="00610A5F">
      <w:pPr>
        <w:pStyle w:val="berschrift1"/>
        <w:rPr>
          <w:rFonts w:cs="Times New Roman"/>
          <w:smallCaps w:val="0"/>
          <w:color w:val="0070C0"/>
          <w:sz w:val="28"/>
          <w:szCs w:val="28"/>
        </w:rPr>
      </w:pPr>
      <w:r>
        <w:rPr>
          <w:rFonts w:cs="Times New Roman"/>
          <w:smallCaps w:val="0"/>
          <w:color w:val="0070C0"/>
          <w:sz w:val="28"/>
          <w:szCs w:val="28"/>
        </w:rPr>
        <w:t>Editions</w:t>
      </w:r>
    </w:p>
    <w:p w14:paraId="648D4175" w14:textId="77777777" w:rsidR="00610A5F" w:rsidRPr="00610A5F" w:rsidRDefault="00610A5F" w:rsidP="00610A5F"/>
    <w:p w14:paraId="1A150916" w14:textId="77777777" w:rsidR="00610A5F" w:rsidRPr="004F0119" w:rsidRDefault="00610A5F" w:rsidP="00610A5F">
      <w:pPr>
        <w:pStyle w:val="berschrift2"/>
      </w:pPr>
      <w:r w:rsidRPr="0021012D">
        <w:t>I. Edition</w:t>
      </w:r>
      <w:r w:rsidRPr="004F0119">
        <w:t xml:space="preserve"> of Law Journals</w:t>
      </w:r>
    </w:p>
    <w:p w14:paraId="340A53D4" w14:textId="77777777" w:rsidR="00610A5F" w:rsidRPr="004F0119" w:rsidRDefault="00610A5F" w:rsidP="00610A5F">
      <w:pPr>
        <w:spacing w:line="240" w:lineRule="auto"/>
        <w:rPr>
          <w:bCs/>
        </w:rPr>
      </w:pPr>
    </w:p>
    <w:p w14:paraId="6C312573" w14:textId="77777777" w:rsidR="00C17C8B" w:rsidRDefault="00610A5F" w:rsidP="00610A5F">
      <w:pPr>
        <w:spacing w:line="240" w:lineRule="auto"/>
        <w:rPr>
          <w:lang w:val="de-DE"/>
        </w:rPr>
      </w:pPr>
      <w:r w:rsidRPr="0066550A">
        <w:rPr>
          <w:lang w:val="de-DE"/>
        </w:rPr>
        <w:t>Europäische Zeitschrift für Wirtschaftsrecht (</w:t>
      </w:r>
      <w:proofErr w:type="spellStart"/>
      <w:r w:rsidRPr="0066550A">
        <w:rPr>
          <w:lang w:val="de-DE"/>
        </w:rPr>
        <w:t>EuZW</w:t>
      </w:r>
      <w:proofErr w:type="spellEnd"/>
      <w:r w:rsidRPr="0066550A">
        <w:rPr>
          <w:lang w:val="de-DE"/>
        </w:rPr>
        <w:t>),</w:t>
      </w:r>
    </w:p>
    <w:p w14:paraId="381B8472" w14:textId="77777777" w:rsidR="00C17C8B" w:rsidRDefault="00610A5F" w:rsidP="00610A5F">
      <w:pPr>
        <w:spacing w:line="240" w:lineRule="auto"/>
        <w:rPr>
          <w:rFonts w:eastAsia="Times New Roman" w:cstheme="minorHAnsi"/>
          <w:color w:val="282837"/>
          <w:shd w:val="clear" w:color="auto" w:fill="FFFFFF"/>
          <w:lang w:eastAsia="de-DE"/>
        </w:rPr>
      </w:pPr>
      <w:r w:rsidRPr="00C17C8B">
        <w:rPr>
          <w:rFonts w:eastAsia="Times New Roman" w:cstheme="minorHAnsi"/>
          <w:b/>
          <w:bCs/>
          <w:color w:val="282837"/>
          <w:shd w:val="clear" w:color="auto" w:fill="FFFFFF"/>
          <w:lang w:eastAsia="de-DE"/>
        </w:rPr>
        <w:t>European Journal of Business Law</w:t>
      </w:r>
      <w:r w:rsidR="00C17C8B">
        <w:rPr>
          <w:rFonts w:eastAsia="Times New Roman" w:cstheme="minorHAnsi"/>
          <w:color w:val="282837"/>
          <w:shd w:val="clear" w:color="auto" w:fill="FFFFFF"/>
          <w:lang w:eastAsia="de-DE"/>
        </w:rPr>
        <w:t>,</w:t>
      </w:r>
    </w:p>
    <w:p w14:paraId="0B3EC6C2" w14:textId="1ABBF7BB" w:rsidR="00610A5F" w:rsidRPr="00872912" w:rsidRDefault="00610A5F" w:rsidP="00610A5F">
      <w:pPr>
        <w:spacing w:line="240" w:lineRule="auto"/>
        <w:rPr>
          <w:lang w:val="de-DE"/>
        </w:rPr>
      </w:pPr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 xml:space="preserve">Revue </w:t>
      </w:r>
      <w:proofErr w:type="spellStart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>Européenne</w:t>
      </w:r>
      <w:proofErr w:type="spellEnd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 xml:space="preserve"> de </w:t>
      </w:r>
      <w:proofErr w:type="spellStart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>Droit</w:t>
      </w:r>
      <w:proofErr w:type="spellEnd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 xml:space="preserve"> </w:t>
      </w:r>
      <w:proofErr w:type="spellStart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>Économique</w:t>
      </w:r>
      <w:proofErr w:type="spellEnd"/>
      <w:r w:rsidRPr="00872912">
        <w:rPr>
          <w:rFonts w:eastAsia="Times New Roman" w:cstheme="minorHAnsi"/>
          <w:color w:val="282837"/>
          <w:shd w:val="clear" w:color="auto" w:fill="FFFFFF"/>
          <w:lang w:val="de-DE" w:eastAsia="de-DE"/>
        </w:rPr>
        <w:t xml:space="preserve">, </w:t>
      </w:r>
      <w:r w:rsidRPr="00872912">
        <w:rPr>
          <w:lang w:val="de-DE"/>
        </w:rPr>
        <w:t>Verlag C.H. Beck</w:t>
      </w:r>
    </w:p>
    <w:p w14:paraId="025BB2AF" w14:textId="77777777" w:rsidR="00610A5F" w:rsidRPr="00872912" w:rsidRDefault="00610A5F" w:rsidP="00610A5F">
      <w:pPr>
        <w:spacing w:line="240" w:lineRule="auto"/>
        <w:rPr>
          <w:bCs/>
          <w:lang w:val="de-DE"/>
        </w:rPr>
      </w:pPr>
    </w:p>
    <w:p w14:paraId="12E28B84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Zeitschrift für Bank- und Kapitalmarktrecht</w:t>
      </w:r>
    </w:p>
    <w:p w14:paraId="180EF351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(Journal of Banking and Capital markets law)</w:t>
      </w:r>
    </w:p>
    <w:p w14:paraId="109922ED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</w:p>
    <w:p w14:paraId="5DDD8FEC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Corporate finance law (discontinued in 2013)</w:t>
      </w:r>
    </w:p>
    <w:p w14:paraId="17E748EC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(Journal of Corporate Finance Law)</w:t>
      </w:r>
    </w:p>
    <w:p w14:paraId="1EE546B3" w14:textId="77777777" w:rsidR="00610A5F" w:rsidRPr="004F0119" w:rsidRDefault="00610A5F" w:rsidP="00610A5F">
      <w:pPr>
        <w:spacing w:line="240" w:lineRule="auto"/>
        <w:rPr>
          <w:bCs/>
          <w:u w:val="single"/>
          <w:lang w:val="en-GB"/>
        </w:rPr>
      </w:pPr>
    </w:p>
    <w:p w14:paraId="5CD60702" w14:textId="77777777" w:rsidR="00610A5F" w:rsidRPr="004F0119" w:rsidRDefault="00610A5F" w:rsidP="00610A5F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>Revue du droit financier et bancaire</w:t>
      </w:r>
    </w:p>
    <w:p w14:paraId="19D7CA98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(French Journal of finance and banking law)</w:t>
      </w:r>
    </w:p>
    <w:p w14:paraId="0683EE28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</w:p>
    <w:p w14:paraId="0E542C35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Kritische Vierteljahresschrift für Gesetzgebung und Rechtsprechung (</w:t>
      </w:r>
      <w:proofErr w:type="spellStart"/>
      <w:r w:rsidRPr="0066550A">
        <w:rPr>
          <w:bCs/>
          <w:lang w:val="de-DE"/>
        </w:rPr>
        <w:t>until</w:t>
      </w:r>
      <w:proofErr w:type="spellEnd"/>
      <w:r w:rsidRPr="0066550A">
        <w:rPr>
          <w:bCs/>
          <w:lang w:val="de-DE"/>
        </w:rPr>
        <w:t xml:space="preserve"> 2020)</w:t>
      </w:r>
    </w:p>
    <w:p w14:paraId="4E309F28" w14:textId="77777777" w:rsidR="00610A5F" w:rsidRDefault="00610A5F" w:rsidP="00610A5F">
      <w:pPr>
        <w:spacing w:line="240" w:lineRule="auto"/>
        <w:rPr>
          <w:bCs/>
        </w:rPr>
      </w:pPr>
      <w:r w:rsidRPr="004F0119">
        <w:rPr>
          <w:bCs/>
        </w:rPr>
        <w:t xml:space="preserve">(Critical Quarterly for Legislation and Law) </w:t>
      </w:r>
    </w:p>
    <w:p w14:paraId="3A569A52" w14:textId="77777777" w:rsidR="00610A5F" w:rsidRDefault="00610A5F" w:rsidP="00610A5F">
      <w:pPr>
        <w:spacing w:line="240" w:lineRule="auto"/>
        <w:rPr>
          <w:bCs/>
        </w:rPr>
      </w:pPr>
    </w:p>
    <w:p w14:paraId="276B1EFF" w14:textId="1EA8A063" w:rsidR="00610A5F" w:rsidRPr="00C36420" w:rsidRDefault="00610A5F" w:rsidP="00610A5F">
      <w:pPr>
        <w:spacing w:line="240" w:lineRule="auto"/>
        <w:rPr>
          <w:lang w:val="fr-FR"/>
        </w:rPr>
      </w:pPr>
      <w:proofErr w:type="spellStart"/>
      <w:r>
        <w:rPr>
          <w:lang w:val="fr-FR"/>
        </w:rPr>
        <w:t>Zeitschrift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gesamte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Handels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Wirtschaftrecht</w:t>
      </w:r>
      <w:proofErr w:type="spellEnd"/>
      <w:r>
        <w:rPr>
          <w:lang w:val="fr-FR"/>
        </w:rPr>
        <w:t xml:space="preserve"> (ZHR)</w:t>
      </w:r>
    </w:p>
    <w:p w14:paraId="5390E2FE" w14:textId="77777777" w:rsidR="00610A5F" w:rsidRPr="007F3624" w:rsidRDefault="00610A5F" w:rsidP="00610A5F">
      <w:pPr>
        <w:spacing w:line="240" w:lineRule="auto"/>
        <w:rPr>
          <w:bCs/>
          <w:lang w:val="fr-FR"/>
        </w:rPr>
      </w:pPr>
    </w:p>
    <w:p w14:paraId="7861199D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</w:p>
    <w:p w14:paraId="40209917" w14:textId="77777777" w:rsidR="00610A5F" w:rsidRPr="0066550A" w:rsidRDefault="00610A5F" w:rsidP="00610A5F">
      <w:pPr>
        <w:pStyle w:val="berschrift2"/>
        <w:rPr>
          <w:lang w:val="de-DE"/>
        </w:rPr>
      </w:pPr>
      <w:r w:rsidRPr="0066550A">
        <w:rPr>
          <w:lang w:val="de-DE"/>
        </w:rPr>
        <w:t xml:space="preserve">II. Edition of </w:t>
      </w:r>
      <w:proofErr w:type="spellStart"/>
      <w:r w:rsidRPr="0066550A">
        <w:rPr>
          <w:lang w:val="de-DE"/>
        </w:rPr>
        <w:t>book</w:t>
      </w:r>
      <w:proofErr w:type="spellEnd"/>
      <w:r w:rsidRPr="0066550A">
        <w:rPr>
          <w:lang w:val="de-DE"/>
        </w:rPr>
        <w:t xml:space="preserve"> </w:t>
      </w:r>
      <w:proofErr w:type="spellStart"/>
      <w:r w:rsidRPr="0066550A">
        <w:rPr>
          <w:lang w:val="de-DE"/>
        </w:rPr>
        <w:t>series</w:t>
      </w:r>
      <w:proofErr w:type="spellEnd"/>
    </w:p>
    <w:p w14:paraId="3D9DE757" w14:textId="77777777" w:rsidR="00610A5F" w:rsidRPr="0066550A" w:rsidRDefault="00610A5F" w:rsidP="00610A5F">
      <w:pPr>
        <w:spacing w:line="240" w:lineRule="auto"/>
        <w:rPr>
          <w:bCs/>
          <w:iCs/>
          <w:lang w:val="de-DE"/>
        </w:rPr>
      </w:pPr>
    </w:p>
    <w:p w14:paraId="6DC0C23B" w14:textId="77777777" w:rsidR="00610A5F" w:rsidRPr="0066550A" w:rsidRDefault="00610A5F" w:rsidP="00610A5F">
      <w:pPr>
        <w:spacing w:line="240" w:lineRule="auto"/>
        <w:rPr>
          <w:lang w:val="de-DE"/>
        </w:rPr>
      </w:pPr>
      <w:r w:rsidRPr="0066550A">
        <w:rPr>
          <w:lang w:val="de-DE"/>
        </w:rPr>
        <w:t xml:space="preserve">Gesamtes Recht der Unternehmen und Finanzen (gemeinsam mit </w:t>
      </w:r>
      <w:r w:rsidRPr="0066550A">
        <w:rPr>
          <w:i/>
          <w:lang w:val="de-DE"/>
        </w:rPr>
        <w:t xml:space="preserve">Roland </w:t>
      </w:r>
      <w:proofErr w:type="spellStart"/>
      <w:r w:rsidRPr="0066550A">
        <w:rPr>
          <w:i/>
          <w:lang w:val="de-DE"/>
        </w:rPr>
        <w:t>Broemel</w:t>
      </w:r>
      <w:proofErr w:type="spellEnd"/>
      <w:r w:rsidRPr="0066550A">
        <w:rPr>
          <w:lang w:val="de-DE"/>
        </w:rPr>
        <w:t xml:space="preserve">, </w:t>
      </w:r>
      <w:r w:rsidRPr="0066550A">
        <w:rPr>
          <w:i/>
          <w:lang w:val="de-DE"/>
        </w:rPr>
        <w:t>Georg Hermes</w:t>
      </w:r>
      <w:r w:rsidRPr="0066550A">
        <w:rPr>
          <w:lang w:val="de-DE"/>
        </w:rPr>
        <w:t xml:space="preserve"> und </w:t>
      </w:r>
      <w:r w:rsidRPr="0066550A">
        <w:rPr>
          <w:i/>
          <w:lang w:val="de-DE"/>
        </w:rPr>
        <w:t>Matthias Jahn</w:t>
      </w:r>
      <w:r w:rsidRPr="0066550A">
        <w:rPr>
          <w:lang w:val="de-DE"/>
        </w:rPr>
        <w:t>), Nomos Verlag</w:t>
      </w:r>
    </w:p>
    <w:p w14:paraId="16E8322B" w14:textId="77777777" w:rsidR="00610A5F" w:rsidRPr="0066550A" w:rsidRDefault="00610A5F" w:rsidP="00610A5F">
      <w:pPr>
        <w:spacing w:line="240" w:lineRule="auto"/>
        <w:rPr>
          <w:bCs/>
          <w:iCs/>
          <w:lang w:val="de-DE"/>
        </w:rPr>
      </w:pPr>
    </w:p>
    <w:p w14:paraId="64D96247" w14:textId="5D8287AD" w:rsidR="00610A5F" w:rsidRPr="0066550A" w:rsidRDefault="00610A5F" w:rsidP="00610A5F">
      <w:pPr>
        <w:spacing w:line="240" w:lineRule="auto"/>
        <w:rPr>
          <w:bCs/>
          <w:iCs/>
          <w:lang w:val="de-DE"/>
        </w:rPr>
      </w:pPr>
      <w:r w:rsidRPr="0066550A">
        <w:rPr>
          <w:bCs/>
          <w:iCs/>
          <w:lang w:val="de-DE"/>
        </w:rPr>
        <w:t>Frankfurter wirtschaftsrechtliche Studien (</w:t>
      </w:r>
      <w:proofErr w:type="spellStart"/>
      <w:r w:rsidRPr="0066550A">
        <w:rPr>
          <w:bCs/>
          <w:iCs/>
          <w:lang w:val="de-DE"/>
        </w:rPr>
        <w:t>with</w:t>
      </w:r>
      <w:proofErr w:type="spellEnd"/>
      <w:r w:rsidRPr="0066550A">
        <w:rPr>
          <w:bCs/>
          <w:iCs/>
          <w:lang w:val="de-DE"/>
        </w:rPr>
        <w:t xml:space="preserve"> </w:t>
      </w:r>
      <w:r w:rsidRPr="0066550A">
        <w:rPr>
          <w:bCs/>
          <w:i/>
          <w:iCs/>
          <w:lang w:val="de-DE"/>
        </w:rPr>
        <w:t>Theodor Baums,</w:t>
      </w:r>
      <w:r w:rsidRPr="0066550A">
        <w:rPr>
          <w:bCs/>
          <w:iCs/>
          <w:lang w:val="de-DE"/>
        </w:rPr>
        <w:t xml:space="preserve"> </w:t>
      </w:r>
      <w:r w:rsidRPr="0066550A">
        <w:rPr>
          <w:bCs/>
          <w:i/>
          <w:iCs/>
          <w:lang w:val="de-DE"/>
        </w:rPr>
        <w:t>Andreas Cahn</w:t>
      </w:r>
      <w:r w:rsidRPr="0066550A">
        <w:rPr>
          <w:bCs/>
          <w:iCs/>
          <w:lang w:val="de-DE"/>
        </w:rPr>
        <w:t>,</w:t>
      </w:r>
      <w:r w:rsidR="0011450F">
        <w:rPr>
          <w:bCs/>
          <w:iCs/>
          <w:lang w:val="de-DE"/>
        </w:rPr>
        <w:t xml:space="preserve"> </w:t>
      </w:r>
      <w:r w:rsidR="0011450F" w:rsidRPr="0011450F">
        <w:rPr>
          <w:bCs/>
          <w:i/>
          <w:lang w:val="de-DE"/>
        </w:rPr>
        <w:t>Tobias Tröger</w:t>
      </w:r>
      <w:r w:rsidR="0011450F">
        <w:rPr>
          <w:bCs/>
          <w:iCs/>
          <w:lang w:val="de-DE"/>
        </w:rPr>
        <w:t xml:space="preserve"> </w:t>
      </w:r>
      <w:proofErr w:type="spellStart"/>
      <w:r w:rsidR="0011450F">
        <w:rPr>
          <w:bCs/>
          <w:iCs/>
          <w:lang w:val="de-DE"/>
        </w:rPr>
        <w:t>and</w:t>
      </w:r>
      <w:proofErr w:type="spellEnd"/>
      <w:r w:rsidR="0011450F">
        <w:rPr>
          <w:bCs/>
          <w:iCs/>
          <w:lang w:val="de-DE"/>
        </w:rPr>
        <w:t xml:space="preserve"> </w:t>
      </w:r>
      <w:r w:rsidR="0011450F" w:rsidRPr="0011450F">
        <w:rPr>
          <w:bCs/>
          <w:i/>
          <w:lang w:val="de-DE"/>
        </w:rPr>
        <w:t xml:space="preserve">Peter von </w:t>
      </w:r>
      <w:proofErr w:type="spellStart"/>
      <w:r w:rsidR="0011450F" w:rsidRPr="0011450F">
        <w:rPr>
          <w:bCs/>
          <w:i/>
          <w:lang w:val="de-DE"/>
        </w:rPr>
        <w:t>Wilmowsky</w:t>
      </w:r>
      <w:proofErr w:type="spellEnd"/>
      <w:r w:rsidRPr="0066550A">
        <w:rPr>
          <w:bCs/>
          <w:iCs/>
          <w:lang w:val="de-DE"/>
        </w:rPr>
        <w:t xml:space="preserve">), Peter Lang </w:t>
      </w:r>
      <w:proofErr w:type="spellStart"/>
      <w:r w:rsidRPr="0066550A">
        <w:rPr>
          <w:bCs/>
          <w:iCs/>
          <w:lang w:val="de-DE"/>
        </w:rPr>
        <w:t>publishers</w:t>
      </w:r>
      <w:proofErr w:type="spellEnd"/>
    </w:p>
    <w:p w14:paraId="029C22A7" w14:textId="77777777" w:rsidR="00610A5F" w:rsidRPr="0066550A" w:rsidRDefault="00610A5F" w:rsidP="00610A5F">
      <w:pPr>
        <w:spacing w:line="240" w:lineRule="auto"/>
        <w:rPr>
          <w:bCs/>
          <w:iCs/>
          <w:lang w:val="de-DE"/>
        </w:rPr>
      </w:pPr>
    </w:p>
    <w:p w14:paraId="3AEA0083" w14:textId="77777777" w:rsidR="00610A5F" w:rsidRPr="0066550A" w:rsidRDefault="00610A5F" w:rsidP="00610A5F">
      <w:pPr>
        <w:spacing w:line="240" w:lineRule="auto"/>
        <w:rPr>
          <w:bCs/>
          <w:iCs/>
          <w:lang w:val="de-DE"/>
        </w:rPr>
      </w:pPr>
      <w:r w:rsidRPr="0066550A">
        <w:rPr>
          <w:bCs/>
          <w:iCs/>
          <w:lang w:val="de-DE"/>
        </w:rPr>
        <w:t xml:space="preserve">Schriftenreihe Unternehmensrecht, Peter Lang </w:t>
      </w:r>
      <w:proofErr w:type="spellStart"/>
      <w:r w:rsidRPr="0066550A">
        <w:rPr>
          <w:bCs/>
          <w:iCs/>
          <w:lang w:val="de-DE"/>
        </w:rPr>
        <w:t>publishers</w:t>
      </w:r>
      <w:proofErr w:type="spellEnd"/>
      <w:r w:rsidRPr="0066550A">
        <w:rPr>
          <w:bCs/>
          <w:iCs/>
          <w:lang w:val="de-DE"/>
        </w:rPr>
        <w:t xml:space="preserve"> (</w:t>
      </w:r>
      <w:proofErr w:type="spellStart"/>
      <w:r w:rsidRPr="0066550A">
        <w:rPr>
          <w:bCs/>
          <w:iCs/>
          <w:lang w:val="de-DE"/>
        </w:rPr>
        <w:t>discontinued</w:t>
      </w:r>
      <w:proofErr w:type="spellEnd"/>
      <w:r w:rsidRPr="0066550A">
        <w:rPr>
          <w:bCs/>
          <w:iCs/>
          <w:lang w:val="de-DE"/>
        </w:rPr>
        <w:t xml:space="preserve"> in 2008)</w:t>
      </w:r>
    </w:p>
    <w:p w14:paraId="3E228300" w14:textId="77777777" w:rsidR="00610A5F" w:rsidRPr="0066550A" w:rsidRDefault="00610A5F" w:rsidP="00610A5F">
      <w:pPr>
        <w:spacing w:line="240" w:lineRule="auto"/>
        <w:rPr>
          <w:bCs/>
          <w:iCs/>
          <w:lang w:val="de-DE"/>
        </w:rPr>
      </w:pPr>
    </w:p>
    <w:p w14:paraId="4D086693" w14:textId="77777777" w:rsidR="00610A5F" w:rsidRPr="0066550A" w:rsidRDefault="00610A5F" w:rsidP="00610A5F">
      <w:pPr>
        <w:spacing w:line="240" w:lineRule="auto"/>
        <w:rPr>
          <w:bCs/>
          <w:u w:val="single"/>
          <w:lang w:val="de-DE"/>
        </w:rPr>
      </w:pPr>
    </w:p>
    <w:p w14:paraId="5653EB7E" w14:textId="77777777" w:rsidR="00610A5F" w:rsidRPr="0066550A" w:rsidRDefault="00610A5F" w:rsidP="00610A5F">
      <w:pPr>
        <w:pStyle w:val="berschrift2"/>
        <w:rPr>
          <w:lang w:val="de-DE"/>
        </w:rPr>
      </w:pPr>
      <w:r w:rsidRPr="0066550A">
        <w:rPr>
          <w:lang w:val="de-DE"/>
        </w:rPr>
        <w:t xml:space="preserve">III. Edition of </w:t>
      </w:r>
      <w:proofErr w:type="spellStart"/>
      <w:r w:rsidRPr="0066550A">
        <w:rPr>
          <w:lang w:val="de-DE"/>
        </w:rPr>
        <w:t>books</w:t>
      </w:r>
      <w:proofErr w:type="spellEnd"/>
    </w:p>
    <w:p w14:paraId="6C7E35A9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</w:p>
    <w:p w14:paraId="40DD7C05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proofErr w:type="spellStart"/>
      <w:r w:rsidRPr="0066550A">
        <w:rPr>
          <w:bCs/>
          <w:lang w:val="de-DE"/>
        </w:rPr>
        <w:t>With</w:t>
      </w:r>
      <w:proofErr w:type="spellEnd"/>
      <w:r w:rsidRPr="0066550A">
        <w:rPr>
          <w:bCs/>
          <w:lang w:val="de-DE"/>
        </w:rPr>
        <w:t xml:space="preserve"> Andreas Heldrich, Jürgen Prölss, Ingo Koller, Hans Christoph Grigoleit, Johannes Hager, Felix Christopher Hey, Jörg Neuner, Jens Petersen, Reinhard Singer</w:t>
      </w:r>
    </w:p>
    <w:p w14:paraId="0BEBADC0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Liber </w:t>
      </w:r>
      <w:proofErr w:type="spellStart"/>
      <w:r w:rsidRPr="004F0119">
        <w:rPr>
          <w:bCs/>
          <w:lang w:val="en-GB"/>
        </w:rPr>
        <w:t>Amicorum</w:t>
      </w:r>
      <w:proofErr w:type="spellEnd"/>
      <w:r w:rsidRPr="004F0119">
        <w:rPr>
          <w:bCs/>
          <w:lang w:val="en-GB"/>
        </w:rPr>
        <w:t xml:space="preserve"> Claus-Wilhelm </w:t>
      </w:r>
      <w:proofErr w:type="spellStart"/>
      <w:r w:rsidRPr="004F0119">
        <w:rPr>
          <w:bCs/>
          <w:lang w:val="en-GB"/>
        </w:rPr>
        <w:t>Canaris</w:t>
      </w:r>
      <w:proofErr w:type="spellEnd"/>
      <w:r w:rsidRPr="004F0119">
        <w:rPr>
          <w:bCs/>
          <w:lang w:val="en-GB"/>
        </w:rPr>
        <w:t>, Munich 2007</w:t>
      </w:r>
    </w:p>
    <w:p w14:paraId="6B7561BC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</w:p>
    <w:p w14:paraId="113351FA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 xml:space="preserve">With Ester </w:t>
      </w:r>
      <w:proofErr w:type="spellStart"/>
      <w:r w:rsidRPr="004F0119">
        <w:rPr>
          <w:bCs/>
        </w:rPr>
        <w:t>Faia</w:t>
      </w:r>
      <w:proofErr w:type="spellEnd"/>
      <w:r w:rsidRPr="004F0119">
        <w:rPr>
          <w:bCs/>
        </w:rPr>
        <w:t xml:space="preserve">, Andreas </w:t>
      </w:r>
      <w:proofErr w:type="spellStart"/>
      <w:r w:rsidRPr="004F0119">
        <w:rPr>
          <w:bCs/>
        </w:rPr>
        <w:t>Hackethal</w:t>
      </w:r>
      <w:proofErr w:type="spellEnd"/>
      <w:r w:rsidRPr="004F0119">
        <w:rPr>
          <w:bCs/>
        </w:rPr>
        <w:t xml:space="preserve">, </w:t>
      </w:r>
      <w:proofErr w:type="spellStart"/>
      <w:r w:rsidRPr="004F0119">
        <w:rPr>
          <w:bCs/>
        </w:rPr>
        <w:t>Michalis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Haliassos</w:t>
      </w:r>
      <w:proofErr w:type="spellEnd"/>
    </w:p>
    <w:p w14:paraId="78DC8DDA" w14:textId="77777777" w:rsidR="00610A5F" w:rsidRPr="004F0119" w:rsidRDefault="00610A5F" w:rsidP="00610A5F">
      <w:pPr>
        <w:spacing w:line="240" w:lineRule="auto"/>
        <w:rPr>
          <w:b/>
          <w:bCs/>
        </w:rPr>
      </w:pPr>
      <w:r w:rsidRPr="004F0119">
        <w:rPr>
          <w:b/>
          <w:bCs/>
        </w:rPr>
        <w:t>Financial Regulation: A Transatlantic Perspective</w:t>
      </w:r>
    </w:p>
    <w:p w14:paraId="403AE094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>Cambridge University Press 2015</w:t>
      </w:r>
    </w:p>
    <w:p w14:paraId="2DC65553" w14:textId="77777777" w:rsidR="00610A5F" w:rsidRPr="004F0119" w:rsidRDefault="00610A5F" w:rsidP="00610A5F">
      <w:pPr>
        <w:spacing w:line="240" w:lineRule="auto"/>
        <w:rPr>
          <w:bCs/>
        </w:rPr>
      </w:pPr>
    </w:p>
    <w:p w14:paraId="2CC4168A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 xml:space="preserve">With Helmut </w:t>
      </w:r>
      <w:proofErr w:type="spellStart"/>
      <w:r w:rsidRPr="004F0119">
        <w:rPr>
          <w:bCs/>
        </w:rPr>
        <w:t>Siekmann</w:t>
      </w:r>
      <w:proofErr w:type="spellEnd"/>
      <w:r w:rsidRPr="004F0119">
        <w:rPr>
          <w:bCs/>
        </w:rPr>
        <w:t xml:space="preserve">, Andreas Cahn, Tim </w:t>
      </w:r>
      <w:proofErr w:type="spellStart"/>
      <w:r w:rsidRPr="004F0119">
        <w:rPr>
          <w:bCs/>
        </w:rPr>
        <w:t>Florstedt</w:t>
      </w:r>
      <w:proofErr w:type="spellEnd"/>
      <w:r w:rsidRPr="004F0119">
        <w:rPr>
          <w:bCs/>
        </w:rPr>
        <w:t xml:space="preserve">, Julia </w:t>
      </w:r>
      <w:proofErr w:type="spellStart"/>
      <w:r w:rsidRPr="004F0119">
        <w:rPr>
          <w:bCs/>
        </w:rPr>
        <w:t>Redenius-Hövermann</w:t>
      </w:r>
      <w:proofErr w:type="spellEnd"/>
      <w:r w:rsidRPr="004F0119">
        <w:rPr>
          <w:bCs/>
        </w:rPr>
        <w:t xml:space="preserve">, Tobias </w:t>
      </w:r>
      <w:proofErr w:type="spellStart"/>
      <w:r w:rsidRPr="004F0119">
        <w:rPr>
          <w:bCs/>
        </w:rPr>
        <w:t>Tröger</w:t>
      </w:r>
      <w:proofErr w:type="spellEnd"/>
      <w:r w:rsidRPr="004F0119">
        <w:rPr>
          <w:bCs/>
        </w:rPr>
        <w:t xml:space="preserve">, Ulrich </w:t>
      </w:r>
      <w:proofErr w:type="spellStart"/>
      <w:r w:rsidRPr="004F0119">
        <w:rPr>
          <w:bCs/>
        </w:rPr>
        <w:t>Segna</w:t>
      </w:r>
      <w:proofErr w:type="spellEnd"/>
    </w:p>
    <w:p w14:paraId="79A1673F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 xml:space="preserve">Liber </w:t>
      </w:r>
      <w:proofErr w:type="spellStart"/>
      <w:r w:rsidRPr="004F0119">
        <w:rPr>
          <w:bCs/>
        </w:rPr>
        <w:t>Amicorum</w:t>
      </w:r>
      <w:proofErr w:type="spellEnd"/>
      <w:r w:rsidRPr="004F0119">
        <w:rPr>
          <w:bCs/>
        </w:rPr>
        <w:t xml:space="preserve"> Theodor </w:t>
      </w:r>
      <w:proofErr w:type="spellStart"/>
      <w:r w:rsidRPr="004F0119">
        <w:rPr>
          <w:bCs/>
        </w:rPr>
        <w:t>Baums</w:t>
      </w:r>
      <w:proofErr w:type="spellEnd"/>
      <w:r w:rsidRPr="004F0119">
        <w:rPr>
          <w:bCs/>
        </w:rPr>
        <w:t xml:space="preserve">, </w:t>
      </w:r>
      <w:proofErr w:type="spellStart"/>
      <w:r w:rsidRPr="004F0119">
        <w:rPr>
          <w:bCs/>
        </w:rPr>
        <w:t>Tübingen</w:t>
      </w:r>
      <w:proofErr w:type="spellEnd"/>
      <w:r w:rsidRPr="004F0119">
        <w:rPr>
          <w:bCs/>
        </w:rPr>
        <w:t xml:space="preserve"> 2017</w:t>
      </w:r>
    </w:p>
    <w:p w14:paraId="4002E827" w14:textId="77777777" w:rsidR="00610A5F" w:rsidRPr="004F0119" w:rsidRDefault="00610A5F" w:rsidP="00610A5F">
      <w:pPr>
        <w:spacing w:line="240" w:lineRule="auto"/>
        <w:rPr>
          <w:bCs/>
        </w:rPr>
      </w:pPr>
    </w:p>
    <w:p w14:paraId="4A90FB35" w14:textId="77777777" w:rsidR="00610A5F" w:rsidRPr="00F16DBF" w:rsidRDefault="00610A5F" w:rsidP="00610A5F">
      <w:pPr>
        <w:spacing w:line="240" w:lineRule="auto"/>
        <w:rPr>
          <w:bCs/>
        </w:rPr>
      </w:pPr>
      <w:r w:rsidRPr="00F16DBF">
        <w:rPr>
          <w:bCs/>
        </w:rPr>
        <w:t xml:space="preserve">With Hans </w:t>
      </w:r>
      <w:proofErr w:type="spellStart"/>
      <w:r w:rsidRPr="00F16DBF">
        <w:rPr>
          <w:bCs/>
        </w:rPr>
        <w:t>Christoph</w:t>
      </w:r>
      <w:proofErr w:type="spellEnd"/>
      <w:r w:rsidRPr="00F16DBF">
        <w:rPr>
          <w:bCs/>
        </w:rPr>
        <w:t xml:space="preserve"> </w:t>
      </w:r>
      <w:proofErr w:type="spellStart"/>
      <w:r w:rsidRPr="00F16DBF">
        <w:rPr>
          <w:bCs/>
        </w:rPr>
        <w:t>Grigoleit</w:t>
      </w:r>
      <w:proofErr w:type="spellEnd"/>
      <w:r w:rsidRPr="00F16DBF">
        <w:rPr>
          <w:bCs/>
        </w:rPr>
        <w:t xml:space="preserve">, Johannes Hager, Felix Christopher Hey, </w:t>
      </w:r>
      <w:proofErr w:type="spellStart"/>
      <w:r w:rsidRPr="00F16DBF">
        <w:rPr>
          <w:bCs/>
        </w:rPr>
        <w:t>Jörg</w:t>
      </w:r>
      <w:proofErr w:type="spellEnd"/>
      <w:r w:rsidRPr="00F16DBF">
        <w:rPr>
          <w:bCs/>
        </w:rPr>
        <w:t xml:space="preserve"> </w:t>
      </w:r>
      <w:proofErr w:type="spellStart"/>
      <w:r w:rsidRPr="00F16DBF">
        <w:rPr>
          <w:bCs/>
        </w:rPr>
        <w:t>Neuner</w:t>
      </w:r>
      <w:proofErr w:type="spellEnd"/>
      <w:r w:rsidRPr="00F16DBF">
        <w:rPr>
          <w:bCs/>
        </w:rPr>
        <w:t xml:space="preserve">, Jens Petersen, </w:t>
      </w:r>
      <w:proofErr w:type="spellStart"/>
      <w:r w:rsidRPr="00F16DBF">
        <w:rPr>
          <w:bCs/>
        </w:rPr>
        <w:t>Reinhard</w:t>
      </w:r>
      <w:proofErr w:type="spellEnd"/>
      <w:r w:rsidRPr="00F16DBF">
        <w:rPr>
          <w:bCs/>
        </w:rPr>
        <w:t xml:space="preserve"> Singer, Marietta Auer, </w:t>
      </w:r>
      <w:proofErr w:type="spellStart"/>
      <w:r w:rsidRPr="00F16DBF">
        <w:rPr>
          <w:bCs/>
        </w:rPr>
        <w:t>Carsten</w:t>
      </w:r>
      <w:proofErr w:type="spellEnd"/>
      <w:r w:rsidRPr="00F16DBF">
        <w:rPr>
          <w:bCs/>
        </w:rPr>
        <w:t xml:space="preserve"> </w:t>
      </w:r>
      <w:proofErr w:type="spellStart"/>
      <w:r w:rsidRPr="00F16DBF">
        <w:rPr>
          <w:bCs/>
        </w:rPr>
        <w:t>Herresthal</w:t>
      </w:r>
      <w:proofErr w:type="spellEnd"/>
      <w:r w:rsidRPr="00F16DBF">
        <w:rPr>
          <w:bCs/>
        </w:rPr>
        <w:t xml:space="preserve">, Thomas </w:t>
      </w:r>
      <w:proofErr w:type="spellStart"/>
      <w:r w:rsidRPr="00F16DBF">
        <w:rPr>
          <w:bCs/>
        </w:rPr>
        <w:t>Riehm</w:t>
      </w:r>
      <w:proofErr w:type="spellEnd"/>
    </w:p>
    <w:p w14:paraId="3701EE54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 xml:space="preserve">Liber </w:t>
      </w:r>
      <w:proofErr w:type="spellStart"/>
      <w:r w:rsidRPr="004F0119">
        <w:rPr>
          <w:bCs/>
        </w:rPr>
        <w:t>Amicorum</w:t>
      </w:r>
      <w:proofErr w:type="spellEnd"/>
      <w:r w:rsidRPr="004F0119">
        <w:rPr>
          <w:bCs/>
        </w:rPr>
        <w:t xml:space="preserve"> Claus-Wilhelm </w:t>
      </w:r>
      <w:proofErr w:type="spellStart"/>
      <w:r w:rsidRPr="004F0119">
        <w:rPr>
          <w:bCs/>
        </w:rPr>
        <w:t>Canaris</w:t>
      </w:r>
      <w:proofErr w:type="spellEnd"/>
      <w:r w:rsidRPr="004F0119">
        <w:rPr>
          <w:bCs/>
        </w:rPr>
        <w:t>, Munich 2017</w:t>
      </w:r>
    </w:p>
    <w:p w14:paraId="6020F0B1" w14:textId="77777777" w:rsidR="00610A5F" w:rsidRPr="004F0119" w:rsidRDefault="00610A5F" w:rsidP="00610A5F">
      <w:pPr>
        <w:spacing w:line="240" w:lineRule="auto"/>
        <w:rPr>
          <w:bCs/>
        </w:rPr>
      </w:pPr>
    </w:p>
    <w:p w14:paraId="6ABEB0E2" w14:textId="77777777" w:rsidR="00610A5F" w:rsidRPr="003E49D9" w:rsidRDefault="00610A5F" w:rsidP="00610A5F">
      <w:pPr>
        <w:keepNext/>
        <w:keepLines/>
        <w:spacing w:line="240" w:lineRule="auto"/>
        <w:rPr>
          <w:bCs/>
        </w:rPr>
      </w:pPr>
      <w:r w:rsidRPr="003E49D9">
        <w:rPr>
          <w:bCs/>
        </w:rPr>
        <w:t xml:space="preserve">With Franklin Allen, Ester </w:t>
      </w:r>
      <w:proofErr w:type="spellStart"/>
      <w:r w:rsidRPr="003E49D9">
        <w:rPr>
          <w:bCs/>
        </w:rPr>
        <w:t>Faia</w:t>
      </w:r>
      <w:proofErr w:type="spellEnd"/>
      <w:r w:rsidRPr="003E49D9">
        <w:rPr>
          <w:bCs/>
        </w:rPr>
        <w:t xml:space="preserve">, </w:t>
      </w:r>
      <w:proofErr w:type="spellStart"/>
      <w:r w:rsidRPr="003E49D9">
        <w:rPr>
          <w:bCs/>
        </w:rPr>
        <w:t>Michalis</w:t>
      </w:r>
      <w:proofErr w:type="spellEnd"/>
      <w:r w:rsidRPr="003E49D9">
        <w:rPr>
          <w:bCs/>
        </w:rPr>
        <w:t xml:space="preserve"> </w:t>
      </w:r>
      <w:proofErr w:type="spellStart"/>
      <w:r w:rsidRPr="003E49D9">
        <w:rPr>
          <w:bCs/>
        </w:rPr>
        <w:t>Haliassos</w:t>
      </w:r>
      <w:proofErr w:type="spellEnd"/>
    </w:p>
    <w:p w14:paraId="3094AE3C" w14:textId="77777777" w:rsidR="00610A5F" w:rsidRPr="004F0119" w:rsidRDefault="00610A5F" w:rsidP="00610A5F">
      <w:pPr>
        <w:keepNext/>
        <w:keepLines/>
        <w:spacing w:line="240" w:lineRule="auto"/>
        <w:rPr>
          <w:b/>
          <w:bCs/>
        </w:rPr>
      </w:pPr>
      <w:r w:rsidRPr="004F0119">
        <w:rPr>
          <w:b/>
          <w:bCs/>
        </w:rPr>
        <w:t>The Capital Market Union and Beyond</w:t>
      </w:r>
    </w:p>
    <w:p w14:paraId="52ED0F5C" w14:textId="77777777" w:rsidR="00610A5F" w:rsidRPr="004F0119" w:rsidRDefault="00610A5F" w:rsidP="00610A5F">
      <w:pPr>
        <w:keepNext/>
        <w:keepLines/>
        <w:spacing w:line="240" w:lineRule="auto"/>
        <w:rPr>
          <w:bCs/>
        </w:rPr>
      </w:pPr>
      <w:r w:rsidRPr="004F0119">
        <w:rPr>
          <w:bCs/>
        </w:rPr>
        <w:t>MIT Press</w:t>
      </w:r>
      <w:r>
        <w:rPr>
          <w:bCs/>
        </w:rPr>
        <w:t>, December</w:t>
      </w:r>
      <w:r w:rsidRPr="004F0119">
        <w:rPr>
          <w:bCs/>
        </w:rPr>
        <w:t xml:space="preserve"> 2019</w:t>
      </w:r>
    </w:p>
    <w:p w14:paraId="6B7314E9" w14:textId="77777777" w:rsidR="00610A5F" w:rsidRDefault="00610A5F" w:rsidP="00610A5F">
      <w:pPr>
        <w:spacing w:line="240" w:lineRule="auto"/>
        <w:rPr>
          <w:bCs/>
          <w:u w:val="single"/>
        </w:rPr>
      </w:pPr>
    </w:p>
    <w:p w14:paraId="38F61C57" w14:textId="77777777" w:rsidR="00610A5F" w:rsidRPr="004F0119" w:rsidRDefault="00610A5F" w:rsidP="00610A5F">
      <w:pPr>
        <w:spacing w:line="240" w:lineRule="auto"/>
        <w:rPr>
          <w:bCs/>
          <w:u w:val="single"/>
        </w:rPr>
      </w:pPr>
    </w:p>
    <w:p w14:paraId="54AA0C72" w14:textId="77777777" w:rsidR="00610A5F" w:rsidRPr="004F0119" w:rsidRDefault="00610A5F" w:rsidP="00610A5F">
      <w:pPr>
        <w:pStyle w:val="berschrift2"/>
      </w:pPr>
      <w:r>
        <w:t>IV</w:t>
      </w:r>
      <w:r w:rsidRPr="004F0119">
        <w:t>. Edition of legal commentaries and handbooks</w:t>
      </w:r>
    </w:p>
    <w:p w14:paraId="1AAC5F43" w14:textId="77777777" w:rsidR="00610A5F" w:rsidRPr="004F0119" w:rsidRDefault="00610A5F" w:rsidP="00610A5F">
      <w:pPr>
        <w:spacing w:line="240" w:lineRule="auto"/>
        <w:rPr>
          <w:bCs/>
          <w:u w:val="single"/>
        </w:rPr>
      </w:pPr>
    </w:p>
    <w:p w14:paraId="61CF4BC1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Langenbucher/</w:t>
      </w:r>
      <w:proofErr w:type="spellStart"/>
      <w:r w:rsidRPr="0066550A">
        <w:rPr>
          <w:bCs/>
          <w:lang w:val="de-DE"/>
        </w:rPr>
        <w:t>Gößmann</w:t>
      </w:r>
      <w:proofErr w:type="spellEnd"/>
      <w:r w:rsidRPr="0066550A">
        <w:rPr>
          <w:bCs/>
          <w:lang w:val="de-DE"/>
        </w:rPr>
        <w:t xml:space="preserve">/Werner (Eds.), Zahlungsverkehr, Handbuch zum Recht der Überweisung, Lastschrift, Kreditkarte und der elektronischen Zahlungsformen,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2004</w:t>
      </w:r>
    </w:p>
    <w:p w14:paraId="689A10B7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(Handbook on </w:t>
      </w:r>
      <w:proofErr w:type="spellStart"/>
      <w:r w:rsidRPr="0066550A">
        <w:rPr>
          <w:bCs/>
          <w:lang w:val="de-DE"/>
        </w:rPr>
        <w:t>payment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systems</w:t>
      </w:r>
      <w:proofErr w:type="spellEnd"/>
      <w:r w:rsidRPr="0066550A">
        <w:rPr>
          <w:bCs/>
          <w:lang w:val="de-DE"/>
        </w:rPr>
        <w:t>)</w:t>
      </w:r>
    </w:p>
    <w:p w14:paraId="79802201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</w:p>
    <w:p w14:paraId="43A58549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Langenbucher (Ed.), </w:t>
      </w:r>
      <w:r w:rsidRPr="0066550A">
        <w:rPr>
          <w:lang w:val="de-DE"/>
        </w:rPr>
        <w:t>Europäisches Privat- und Wirtschaftsrecht</w:t>
      </w:r>
      <w:r w:rsidRPr="0066550A">
        <w:rPr>
          <w:bCs/>
          <w:lang w:val="de-DE"/>
        </w:rPr>
        <w:t xml:space="preserve"> (1</w:t>
      </w:r>
      <w:r w:rsidRPr="0066550A">
        <w:rPr>
          <w:bCs/>
          <w:vertAlign w:val="superscript"/>
          <w:lang w:val="de-DE"/>
        </w:rPr>
        <w:t>st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2</w:t>
      </w:r>
      <w:r w:rsidRPr="0066550A">
        <w:rPr>
          <w:bCs/>
          <w:vertAlign w:val="superscript"/>
          <w:lang w:val="de-DE"/>
        </w:rPr>
        <w:t>nd</w:t>
      </w:r>
      <w:r w:rsidRPr="0066550A">
        <w:rPr>
          <w:bCs/>
          <w:lang w:val="de-DE"/>
        </w:rPr>
        <w:t> 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proofErr w:type="spellStart"/>
      <w:r w:rsidRPr="0066550A">
        <w:rPr>
          <w:bCs/>
          <w:lang w:val="de-DE"/>
        </w:rPr>
        <w:t>appeared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under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the</w:t>
      </w:r>
      <w:proofErr w:type="spellEnd"/>
      <w:r w:rsidRPr="0066550A">
        <w:rPr>
          <w:bCs/>
          <w:lang w:val="de-DE"/>
        </w:rPr>
        <w:t xml:space="preserve"> title Europarechtliche Bezüge des Privatrechts), 4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>. Baden-Baden 2017</w:t>
      </w:r>
    </w:p>
    <w:p w14:paraId="3FF7245A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(European Private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Corporate Law)</w:t>
      </w:r>
    </w:p>
    <w:p w14:paraId="073A5A94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</w:p>
    <w:p w14:paraId="64B196FC" w14:textId="77777777" w:rsidR="00610A5F" w:rsidRPr="004F0119" w:rsidRDefault="00610A5F" w:rsidP="00610A5F">
      <w:pPr>
        <w:spacing w:line="240" w:lineRule="auto"/>
        <w:rPr>
          <w:bCs/>
          <w:lang w:val="en-GB"/>
        </w:rPr>
      </w:pPr>
      <w:r w:rsidRPr="0066550A">
        <w:rPr>
          <w:bCs/>
          <w:lang w:val="de-DE"/>
        </w:rPr>
        <w:t>Lwowski/Fischer/Langenbucher (Eds.), Das Recht der Kreditsicherung, 9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r w:rsidRPr="004F0119">
        <w:rPr>
          <w:bCs/>
          <w:lang w:val="en-GB"/>
        </w:rPr>
        <w:t>Berlin 2011 (stopped editorship after 9</w:t>
      </w:r>
      <w:r w:rsidRPr="004F0119">
        <w:rPr>
          <w:bCs/>
          <w:vertAlign w:val="superscript"/>
          <w:lang w:val="en-GB"/>
        </w:rPr>
        <w:t>th</w:t>
      </w:r>
      <w:r w:rsidRPr="004F0119">
        <w:rPr>
          <w:bCs/>
          <w:lang w:val="en-GB"/>
        </w:rPr>
        <w:t xml:space="preserve"> ed.)</w:t>
      </w:r>
    </w:p>
    <w:p w14:paraId="0BFA3CBC" w14:textId="77777777" w:rsidR="00610A5F" w:rsidRPr="004F0119" w:rsidRDefault="00610A5F" w:rsidP="00610A5F">
      <w:pPr>
        <w:spacing w:line="240" w:lineRule="auto"/>
        <w:rPr>
          <w:bCs/>
        </w:rPr>
      </w:pPr>
      <w:r w:rsidRPr="004F0119">
        <w:rPr>
          <w:bCs/>
        </w:rPr>
        <w:t>(The law of loan securities)</w:t>
      </w:r>
    </w:p>
    <w:p w14:paraId="19F89D17" w14:textId="77777777" w:rsidR="00610A5F" w:rsidRPr="004F0119" w:rsidRDefault="00610A5F" w:rsidP="00610A5F">
      <w:pPr>
        <w:spacing w:line="240" w:lineRule="auto"/>
        <w:rPr>
          <w:bCs/>
        </w:rPr>
      </w:pPr>
    </w:p>
    <w:p w14:paraId="71AF35F2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Langenbucher/</w:t>
      </w:r>
      <w:proofErr w:type="spellStart"/>
      <w:r w:rsidRPr="0066550A">
        <w:rPr>
          <w:bCs/>
          <w:lang w:val="de-DE"/>
        </w:rPr>
        <w:t>Bliesener</w:t>
      </w:r>
      <w:proofErr w:type="spellEnd"/>
      <w:r w:rsidRPr="0066550A">
        <w:rPr>
          <w:bCs/>
          <w:lang w:val="de-DE"/>
        </w:rPr>
        <w:t>/Spindler (Eds.), Bankrechtskommentar, 2</w:t>
      </w:r>
      <w:r w:rsidRPr="0066550A">
        <w:rPr>
          <w:bCs/>
          <w:vertAlign w:val="superscript"/>
          <w:lang w:val="de-DE"/>
        </w:rPr>
        <w:t xml:space="preserve">nd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2016, 3rd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proofErr w:type="spellStart"/>
      <w:r w:rsidRPr="0066550A">
        <w:rPr>
          <w:bCs/>
          <w:lang w:val="de-DE"/>
        </w:rPr>
        <w:t>forthcoming</w:t>
      </w:r>
      <w:proofErr w:type="spellEnd"/>
      <w:r w:rsidRPr="0066550A">
        <w:rPr>
          <w:bCs/>
          <w:lang w:val="de-DE"/>
        </w:rPr>
        <w:t xml:space="preserve"> 2020</w:t>
      </w:r>
    </w:p>
    <w:p w14:paraId="69B586C3" w14:textId="77777777" w:rsidR="00610A5F" w:rsidRPr="0066550A" w:rsidRDefault="00610A5F" w:rsidP="00610A5F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(Banking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Corporate Law)</w:t>
      </w:r>
    </w:p>
    <w:p w14:paraId="3A1330E5" w14:textId="77777777" w:rsidR="00FD1004" w:rsidRPr="0066550A" w:rsidRDefault="00FD1004" w:rsidP="00A21C49">
      <w:pPr>
        <w:rPr>
          <w:lang w:val="de-DE"/>
        </w:rPr>
      </w:pPr>
    </w:p>
    <w:p w14:paraId="0D47938B" w14:textId="77777777" w:rsidR="00FD1004" w:rsidRPr="00FD1004" w:rsidRDefault="00FD1004" w:rsidP="00FD1004">
      <w:pPr>
        <w:pStyle w:val="berschrift1"/>
        <w:rPr>
          <w:i/>
          <w:smallCaps w:val="0"/>
          <w:color w:val="0070C0"/>
          <w:sz w:val="28"/>
          <w:szCs w:val="28"/>
          <w:lang w:val="de-DE"/>
        </w:rPr>
      </w:pPr>
      <w:r w:rsidRPr="00FD1004">
        <w:rPr>
          <w:smallCaps w:val="0"/>
          <w:color w:val="0070C0"/>
          <w:sz w:val="28"/>
          <w:szCs w:val="28"/>
          <w:lang w:val="de-DE"/>
        </w:rPr>
        <w:t>Books</w:t>
      </w:r>
    </w:p>
    <w:p w14:paraId="0DF3E084" w14:textId="77777777" w:rsidR="00FD1004" w:rsidRPr="0066550A" w:rsidRDefault="00FD1004" w:rsidP="00FD1004">
      <w:pPr>
        <w:spacing w:line="240" w:lineRule="auto"/>
        <w:rPr>
          <w:bCs/>
          <w:i/>
          <w:lang w:val="de-DE"/>
        </w:rPr>
      </w:pPr>
    </w:p>
    <w:p w14:paraId="5FF8D116" w14:textId="77777777" w:rsidR="00FD1004" w:rsidRPr="0066550A" w:rsidRDefault="00FD1004" w:rsidP="00FD1004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Die Entwicklung und Auslegung von Richterrecht. Eine methodologische Untersuchung zur richterlichen Rechtsfortbildung im deutschen Zivilrecht,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1996</w:t>
      </w:r>
    </w:p>
    <w:p w14:paraId="677A2E7A" w14:textId="77777777" w:rsidR="00FD1004" w:rsidRPr="004F0119" w:rsidRDefault="00FD1004" w:rsidP="00FD1004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(Development and interpretation of judge-made law. An inquiry into judge-made law in German private law)</w:t>
      </w:r>
    </w:p>
    <w:p w14:paraId="5555F754" w14:textId="77777777" w:rsidR="00FD1004" w:rsidRPr="004F0119" w:rsidRDefault="00FD1004" w:rsidP="00FD1004">
      <w:pPr>
        <w:spacing w:line="240" w:lineRule="auto"/>
        <w:rPr>
          <w:bCs/>
          <w:lang w:val="en-GB"/>
        </w:rPr>
      </w:pPr>
    </w:p>
    <w:p w14:paraId="5DFE38C4" w14:textId="77777777" w:rsidR="00FD1004" w:rsidRPr="0066550A" w:rsidRDefault="00FD1004" w:rsidP="00FD1004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Die Risikozuordnung im bargeldlosen Zahlungsverkehr,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2001</w:t>
      </w:r>
    </w:p>
    <w:p w14:paraId="7CD49C94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 xml:space="preserve">(Risk allocation in non-cash payments) </w:t>
      </w:r>
    </w:p>
    <w:p w14:paraId="0387D0C1" w14:textId="77777777" w:rsidR="00FD1004" w:rsidRPr="004F0119" w:rsidRDefault="00FD1004" w:rsidP="00FD1004">
      <w:pPr>
        <w:spacing w:line="240" w:lineRule="auto"/>
        <w:rPr>
          <w:bCs/>
        </w:rPr>
      </w:pPr>
    </w:p>
    <w:p w14:paraId="0C6040AD" w14:textId="77777777" w:rsidR="00FD1004" w:rsidRPr="004F0119" w:rsidRDefault="00FD1004" w:rsidP="00FD1004">
      <w:pPr>
        <w:spacing w:line="240" w:lineRule="auto"/>
      </w:pPr>
      <w:r w:rsidRPr="0066550A">
        <w:rPr>
          <w:lang w:val="de-DE"/>
        </w:rPr>
        <w:t>Aktien- und Kapitalmarktrecht,</w:t>
      </w:r>
      <w:r w:rsidRPr="0066550A">
        <w:rPr>
          <w:bCs/>
          <w:lang w:val="de-DE"/>
        </w:rPr>
        <w:t xml:space="preserve"> Juristische Kurzlehrbücher, 4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r w:rsidRPr="004F0119">
        <w:rPr>
          <w:bCs/>
        </w:rPr>
        <w:t>Munich 2017</w:t>
      </w:r>
    </w:p>
    <w:p w14:paraId="639DE80A" w14:textId="77777777" w:rsidR="00FD1004" w:rsidRPr="004F0119" w:rsidRDefault="00FD1004" w:rsidP="00FD1004">
      <w:pPr>
        <w:spacing w:line="240" w:lineRule="auto"/>
        <w:rPr>
          <w:lang w:val="en-GB"/>
        </w:rPr>
      </w:pPr>
      <w:r w:rsidRPr="004F0119">
        <w:rPr>
          <w:lang w:val="en-GB"/>
        </w:rPr>
        <w:t>(Corporate and capital markets law)</w:t>
      </w:r>
    </w:p>
    <w:p w14:paraId="3BDBB481" w14:textId="77777777" w:rsidR="00FD1004" w:rsidRDefault="00FD1004" w:rsidP="00FD1004">
      <w:pPr>
        <w:spacing w:line="240" w:lineRule="auto"/>
        <w:rPr>
          <w:lang w:val="en-GB"/>
        </w:rPr>
      </w:pPr>
    </w:p>
    <w:p w14:paraId="76A88FC7" w14:textId="77777777" w:rsidR="00894D82" w:rsidRPr="004F0119" w:rsidRDefault="00894D82" w:rsidP="00FD1004">
      <w:pPr>
        <w:spacing w:line="240" w:lineRule="auto"/>
        <w:rPr>
          <w:lang w:val="en-GB"/>
        </w:rPr>
      </w:pPr>
    </w:p>
    <w:p w14:paraId="3BA0BA1B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/>
          <w:bCs/>
        </w:rPr>
        <w:t>Economic Transplants, On Lawmaking for Corporations and Capital Markets</w:t>
      </w:r>
    </w:p>
    <w:p w14:paraId="20107E8B" w14:textId="521A01A1" w:rsidR="00FD1004" w:rsidRDefault="00FD1004" w:rsidP="00B1557D">
      <w:pPr>
        <w:spacing w:line="240" w:lineRule="auto"/>
        <w:rPr>
          <w:bCs/>
        </w:rPr>
      </w:pPr>
      <w:r w:rsidRPr="004F0119">
        <w:rPr>
          <w:bCs/>
        </w:rPr>
        <w:t>Cambridge University Press 2017</w:t>
      </w:r>
    </w:p>
    <w:p w14:paraId="33D36114" w14:textId="77777777" w:rsidR="00FD1004" w:rsidRPr="00FD1004" w:rsidRDefault="00FD1004" w:rsidP="00C17C8B">
      <w:pPr>
        <w:pStyle w:val="berschrift1"/>
        <w:ind w:left="0" w:firstLine="0"/>
        <w:rPr>
          <w:smallCaps w:val="0"/>
          <w:color w:val="0070C0"/>
          <w:sz w:val="28"/>
          <w:szCs w:val="28"/>
        </w:rPr>
      </w:pPr>
      <w:r w:rsidRPr="00FD1004">
        <w:rPr>
          <w:smallCaps w:val="0"/>
          <w:color w:val="0070C0"/>
          <w:sz w:val="28"/>
          <w:szCs w:val="28"/>
        </w:rPr>
        <w:lastRenderedPageBreak/>
        <w:t>Articles in legal commentaries/handbooks</w:t>
      </w:r>
    </w:p>
    <w:p w14:paraId="4F401A26" w14:textId="77777777" w:rsidR="00FD1004" w:rsidRPr="004F0119" w:rsidRDefault="00FD1004" w:rsidP="00FD1004">
      <w:pPr>
        <w:keepNext/>
        <w:keepLines/>
        <w:spacing w:line="240" w:lineRule="auto"/>
        <w:rPr>
          <w:bCs/>
        </w:rPr>
      </w:pPr>
    </w:p>
    <w:p w14:paraId="6938147F" w14:textId="77777777" w:rsidR="00FD1004" w:rsidRPr="004F0119" w:rsidRDefault="00FD1004" w:rsidP="00FD1004">
      <w:pPr>
        <w:keepNext/>
        <w:keepLines/>
        <w:numPr>
          <w:ilvl w:val="0"/>
          <w:numId w:val="10"/>
        </w:numPr>
        <w:spacing w:line="240" w:lineRule="auto"/>
        <w:rPr>
          <w:bCs/>
        </w:rPr>
      </w:pPr>
      <w:r w:rsidRPr="004F0119">
        <w:rPr>
          <w:bCs/>
        </w:rPr>
        <w:t xml:space="preserve">Der </w:t>
      </w:r>
      <w:proofErr w:type="spellStart"/>
      <w:r w:rsidRPr="004F0119">
        <w:rPr>
          <w:bCs/>
        </w:rPr>
        <w:t>Überweisungsverkehr</w:t>
      </w:r>
      <w:proofErr w:type="spellEnd"/>
      <w:r w:rsidRPr="004F0119">
        <w:rPr>
          <w:bCs/>
        </w:rPr>
        <w:t xml:space="preserve"> (wire transfers)</w:t>
      </w:r>
    </w:p>
    <w:p w14:paraId="27772D2C" w14:textId="77777777" w:rsidR="00FD1004" w:rsidRPr="0066550A" w:rsidRDefault="00FD1004" w:rsidP="00FD1004">
      <w:pPr>
        <w:keepNext/>
        <w:keepLines/>
        <w:numPr>
          <w:ilvl w:val="0"/>
          <w:numId w:val="10"/>
        </w:num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Der Interbankenverkehr (</w:t>
      </w:r>
      <w:proofErr w:type="spellStart"/>
      <w:r w:rsidRPr="0066550A">
        <w:rPr>
          <w:bCs/>
          <w:lang w:val="de-DE"/>
        </w:rPr>
        <w:t>interbank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payment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systems</w:t>
      </w:r>
      <w:proofErr w:type="spellEnd"/>
      <w:r w:rsidRPr="0066550A">
        <w:rPr>
          <w:bCs/>
          <w:lang w:val="de-DE"/>
        </w:rPr>
        <w:t>)</w:t>
      </w:r>
    </w:p>
    <w:p w14:paraId="220CAD14" w14:textId="77777777" w:rsidR="00FD1004" w:rsidRPr="0066550A" w:rsidRDefault="00FD1004" w:rsidP="00FD1004">
      <w:pPr>
        <w:keepNext/>
        <w:keepLines/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in: Langenbucher/</w:t>
      </w:r>
      <w:proofErr w:type="spellStart"/>
      <w:r w:rsidRPr="0066550A">
        <w:rPr>
          <w:bCs/>
          <w:lang w:val="de-DE"/>
        </w:rPr>
        <w:t>Gößmann</w:t>
      </w:r>
      <w:proofErr w:type="spellEnd"/>
      <w:r w:rsidRPr="0066550A">
        <w:rPr>
          <w:bCs/>
          <w:lang w:val="de-DE"/>
        </w:rPr>
        <w:t xml:space="preserve">/Werner (Eds.), Zahlungsverkehr, Handbuch zum Recht der Überweisung, Lastschrift, Kreditkarte und der elektronischen Zahlungsformen,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2004</w:t>
      </w:r>
    </w:p>
    <w:p w14:paraId="5B58A5AA" w14:textId="77777777" w:rsidR="00FD1004" w:rsidRPr="004F0119" w:rsidRDefault="00FD1004" w:rsidP="00FD1004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(Handbook on payment systems)</w:t>
      </w:r>
    </w:p>
    <w:p w14:paraId="72D85CF2" w14:textId="77777777" w:rsidR="00FD1004" w:rsidRPr="004F0119" w:rsidRDefault="00FD1004" w:rsidP="00FD1004">
      <w:pPr>
        <w:spacing w:line="240" w:lineRule="auto"/>
        <w:rPr>
          <w:bCs/>
        </w:rPr>
      </w:pPr>
    </w:p>
    <w:p w14:paraId="7172A938" w14:textId="77777777" w:rsidR="00FD1004" w:rsidRPr="004F0119" w:rsidRDefault="00FD1004" w:rsidP="00FD1004">
      <w:pPr>
        <w:spacing w:line="240" w:lineRule="auto"/>
        <w:rPr>
          <w:bCs/>
          <w:iCs/>
        </w:rPr>
      </w:pPr>
      <w:r w:rsidRPr="004F0119">
        <w:rPr>
          <w:bCs/>
          <w:lang w:val="en-GB"/>
        </w:rPr>
        <w:t>Legal commentary of sections</w:t>
      </w:r>
      <w:r w:rsidRPr="004F0119">
        <w:rPr>
          <w:lang w:val="en-GB"/>
        </w:rPr>
        <w:t> 355-357,</w:t>
      </w:r>
      <w:r>
        <w:rPr>
          <w:lang w:val="en-GB"/>
        </w:rPr>
        <w:t xml:space="preserve"> 354a (since 5</w:t>
      </w:r>
      <w:r w:rsidRPr="003252AB">
        <w:rPr>
          <w:vertAlign w:val="superscript"/>
          <w:lang w:val="en-GB"/>
        </w:rPr>
        <w:t>th</w:t>
      </w:r>
      <w:r>
        <w:rPr>
          <w:lang w:val="en-GB"/>
        </w:rPr>
        <w:t xml:space="preserve"> ed.)</w:t>
      </w:r>
      <w:r w:rsidRPr="004F0119">
        <w:rPr>
          <w:lang w:val="en-GB"/>
        </w:rPr>
        <w:t xml:space="preserve"> 363-365 HGB (Banking law)</w:t>
      </w:r>
    </w:p>
    <w:p w14:paraId="56D2CC8B" w14:textId="77777777" w:rsidR="00FD1004" w:rsidRPr="002B251B" w:rsidRDefault="00FD1004" w:rsidP="00FD1004">
      <w:pPr>
        <w:spacing w:line="240" w:lineRule="auto"/>
        <w:rPr>
          <w:bCs/>
        </w:rPr>
      </w:pPr>
      <w:r w:rsidRPr="0066550A">
        <w:rPr>
          <w:bCs/>
          <w:lang w:val="de-DE"/>
        </w:rPr>
        <w:t xml:space="preserve">in: Münchener Kommentar zum HGB (Commercial </w:t>
      </w:r>
      <w:proofErr w:type="spellStart"/>
      <w:r w:rsidRPr="0066550A">
        <w:rPr>
          <w:bCs/>
          <w:lang w:val="de-DE"/>
        </w:rPr>
        <w:t>law</w:t>
      </w:r>
      <w:proofErr w:type="spellEnd"/>
      <w:r w:rsidRPr="0066550A">
        <w:rPr>
          <w:bCs/>
          <w:lang w:val="de-DE"/>
        </w:rPr>
        <w:t>), 5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r w:rsidRPr="002B251B">
        <w:rPr>
          <w:bCs/>
        </w:rPr>
        <w:t>Munich 2020</w:t>
      </w:r>
    </w:p>
    <w:p w14:paraId="6FFDCC6E" w14:textId="77777777" w:rsidR="00FD1004" w:rsidRPr="002B251B" w:rsidRDefault="00FD1004" w:rsidP="00FD1004">
      <w:pPr>
        <w:spacing w:line="240" w:lineRule="auto"/>
      </w:pPr>
    </w:p>
    <w:p w14:paraId="7698934A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t xml:space="preserve">Legal commentary of sections 291-299, 308-310 </w:t>
      </w:r>
      <w:proofErr w:type="spellStart"/>
      <w:r w:rsidRPr="004F0119">
        <w:t>AktG</w:t>
      </w:r>
      <w:proofErr w:type="spellEnd"/>
      <w:r w:rsidRPr="004F0119">
        <w:t xml:space="preserve"> (German law of corporate groups)</w:t>
      </w:r>
    </w:p>
    <w:p w14:paraId="56577D7C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 xml:space="preserve">in: </w:t>
      </w:r>
      <w:proofErr w:type="spellStart"/>
      <w:r w:rsidRPr="004F0119">
        <w:rPr>
          <w:bCs/>
        </w:rPr>
        <w:t>Hommelhoff</w:t>
      </w:r>
      <w:proofErr w:type="spellEnd"/>
      <w:r w:rsidRPr="004F0119">
        <w:rPr>
          <w:bCs/>
        </w:rPr>
        <w:t>/</w:t>
      </w:r>
      <w:proofErr w:type="spellStart"/>
      <w:r w:rsidRPr="004F0119">
        <w:rPr>
          <w:bCs/>
        </w:rPr>
        <w:t>Lutter</w:t>
      </w:r>
      <w:proofErr w:type="spellEnd"/>
      <w:r w:rsidRPr="004F0119">
        <w:rPr>
          <w:bCs/>
        </w:rPr>
        <w:t>/K. Schmidt (Eds.), SE/AG (</w:t>
      </w:r>
      <w:proofErr w:type="spellStart"/>
      <w:r w:rsidRPr="004F0119">
        <w:rPr>
          <w:bCs/>
        </w:rPr>
        <w:t>Societas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Europaea</w:t>
      </w:r>
      <w:proofErr w:type="spellEnd"/>
      <w:r w:rsidRPr="004F0119">
        <w:rPr>
          <w:bCs/>
        </w:rPr>
        <w:t xml:space="preserve"> and German stock corporation), 2</w:t>
      </w:r>
      <w:r w:rsidRPr="004F0119">
        <w:rPr>
          <w:bCs/>
          <w:vertAlign w:val="superscript"/>
        </w:rPr>
        <w:t>nd</w:t>
      </w:r>
      <w:r w:rsidRPr="004F0119">
        <w:rPr>
          <w:bCs/>
        </w:rPr>
        <w:t xml:space="preserve"> ed. Cologne 2010, 3</w:t>
      </w:r>
      <w:r w:rsidRPr="004F0119">
        <w:rPr>
          <w:bCs/>
          <w:vertAlign w:val="superscript"/>
        </w:rPr>
        <w:t xml:space="preserve">rd </w:t>
      </w:r>
      <w:r w:rsidRPr="004F0119">
        <w:rPr>
          <w:bCs/>
        </w:rPr>
        <w:t>ed. Cologne 2015</w:t>
      </w:r>
    </w:p>
    <w:p w14:paraId="7575E4C5" w14:textId="77777777" w:rsidR="00FD1004" w:rsidRPr="004F0119" w:rsidRDefault="00FD1004" w:rsidP="00FD1004">
      <w:pPr>
        <w:spacing w:line="240" w:lineRule="auto"/>
        <w:rPr>
          <w:bCs/>
        </w:rPr>
      </w:pPr>
    </w:p>
    <w:p w14:paraId="46D65AE4" w14:textId="77777777" w:rsidR="00FD1004" w:rsidRPr="004F0119" w:rsidRDefault="00FD1004" w:rsidP="00FD1004">
      <w:pPr>
        <w:spacing w:line="240" w:lineRule="auto"/>
        <w:rPr>
          <w:bCs/>
        </w:rPr>
      </w:pPr>
      <w:proofErr w:type="spellStart"/>
      <w:r w:rsidRPr="004F0119">
        <w:rPr>
          <w:bCs/>
        </w:rPr>
        <w:t>Kreditsicherung</w:t>
      </w:r>
      <w:proofErr w:type="spellEnd"/>
      <w:r w:rsidRPr="004F0119">
        <w:rPr>
          <w:bCs/>
        </w:rPr>
        <w:t xml:space="preserve"> und </w:t>
      </w:r>
      <w:proofErr w:type="spellStart"/>
      <w:r w:rsidRPr="004F0119">
        <w:rPr>
          <w:bCs/>
        </w:rPr>
        <w:t>Bankaufsichtsrecht</w:t>
      </w:r>
      <w:proofErr w:type="spellEnd"/>
      <w:r w:rsidRPr="004F0119">
        <w:rPr>
          <w:bCs/>
        </w:rPr>
        <w:t xml:space="preserve"> (Loan securities and regulatory banking law)</w:t>
      </w:r>
    </w:p>
    <w:p w14:paraId="2869CA73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 xml:space="preserve">in: </w:t>
      </w:r>
      <w:proofErr w:type="spellStart"/>
      <w:r w:rsidRPr="004F0119">
        <w:rPr>
          <w:bCs/>
        </w:rPr>
        <w:t>Lwowski</w:t>
      </w:r>
      <w:proofErr w:type="spellEnd"/>
      <w:r w:rsidRPr="004F0119">
        <w:rPr>
          <w:bCs/>
        </w:rPr>
        <w:t xml:space="preserve">/Fischer/Langenbucher (Eds.), Das </w:t>
      </w:r>
      <w:proofErr w:type="spellStart"/>
      <w:r w:rsidRPr="004F0119">
        <w:rPr>
          <w:bCs/>
        </w:rPr>
        <w:t>Recht</w:t>
      </w:r>
      <w:proofErr w:type="spellEnd"/>
      <w:r w:rsidRPr="004F0119">
        <w:rPr>
          <w:bCs/>
        </w:rPr>
        <w:t xml:space="preserve"> der </w:t>
      </w:r>
      <w:proofErr w:type="spellStart"/>
      <w:r w:rsidRPr="004F0119">
        <w:rPr>
          <w:bCs/>
        </w:rPr>
        <w:t>Kreditsicherung</w:t>
      </w:r>
      <w:proofErr w:type="spellEnd"/>
      <w:r w:rsidRPr="004F0119">
        <w:rPr>
          <w:bCs/>
        </w:rPr>
        <w:t xml:space="preserve"> (The law of loan securities), 9</w:t>
      </w:r>
      <w:r w:rsidRPr="004F0119">
        <w:rPr>
          <w:bCs/>
          <w:vertAlign w:val="superscript"/>
        </w:rPr>
        <w:t>th</w:t>
      </w:r>
      <w:r w:rsidRPr="004F0119">
        <w:rPr>
          <w:bCs/>
        </w:rPr>
        <w:t xml:space="preserve"> ed. Berlin 2011</w:t>
      </w:r>
    </w:p>
    <w:p w14:paraId="7D886DA6" w14:textId="77777777" w:rsidR="00FD1004" w:rsidRPr="004F0119" w:rsidRDefault="00FD1004" w:rsidP="00FD1004">
      <w:pPr>
        <w:spacing w:line="240" w:lineRule="auto"/>
        <w:rPr>
          <w:bCs/>
        </w:rPr>
      </w:pPr>
    </w:p>
    <w:p w14:paraId="75E36B45" w14:textId="77777777" w:rsidR="00FD1004" w:rsidRDefault="00FD1004" w:rsidP="00FD1004">
      <w:pPr>
        <w:spacing w:line="240" w:lineRule="auto"/>
        <w:rPr>
          <w:bCs/>
        </w:rPr>
      </w:pPr>
      <w:r w:rsidRPr="004F0119">
        <w:rPr>
          <w:bCs/>
        </w:rPr>
        <w:t>Legal commentary of sections 675j – 676c BGB (Law of wire transfers)</w:t>
      </w:r>
    </w:p>
    <w:p w14:paraId="30971A8C" w14:textId="77777777" w:rsidR="00FD1004" w:rsidRPr="004F0119" w:rsidRDefault="00FD1004" w:rsidP="00FD1004">
      <w:pPr>
        <w:spacing w:line="240" w:lineRule="auto"/>
        <w:rPr>
          <w:bCs/>
        </w:rPr>
      </w:pPr>
      <w:proofErr w:type="spellStart"/>
      <w:r>
        <w:rPr>
          <w:bCs/>
        </w:rPr>
        <w:t>Virtuelle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Währungen</w:t>
      </w:r>
      <w:proofErr w:type="spellEnd"/>
      <w:r>
        <w:rPr>
          <w:bCs/>
        </w:rPr>
        <w:t xml:space="preserve"> (Virtual Payments)</w:t>
      </w:r>
    </w:p>
    <w:p w14:paraId="2FE236AA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>in: Langenbucher/</w:t>
      </w:r>
      <w:proofErr w:type="spellStart"/>
      <w:r w:rsidRPr="004F0119">
        <w:rPr>
          <w:bCs/>
        </w:rPr>
        <w:t>Bliesener</w:t>
      </w:r>
      <w:proofErr w:type="spellEnd"/>
      <w:r w:rsidRPr="004F0119">
        <w:rPr>
          <w:bCs/>
        </w:rPr>
        <w:t>/</w:t>
      </w:r>
      <w:proofErr w:type="spellStart"/>
      <w:r w:rsidRPr="004F0119">
        <w:rPr>
          <w:bCs/>
        </w:rPr>
        <w:t>Spindler</w:t>
      </w:r>
      <w:proofErr w:type="spellEnd"/>
      <w:r w:rsidRPr="004F0119">
        <w:rPr>
          <w:bCs/>
        </w:rPr>
        <w:t xml:space="preserve"> (Eds.), </w:t>
      </w:r>
      <w:proofErr w:type="spellStart"/>
      <w:r w:rsidRPr="004F0119">
        <w:rPr>
          <w:bCs/>
        </w:rPr>
        <w:t>Bankrechtskommentar</w:t>
      </w:r>
      <w:proofErr w:type="spellEnd"/>
      <w:r w:rsidRPr="004F0119">
        <w:rPr>
          <w:bCs/>
        </w:rPr>
        <w:t xml:space="preserve"> (Banking and Corporate Law), Munich 2015, 3</w:t>
      </w:r>
      <w:r w:rsidRPr="004F0119">
        <w:rPr>
          <w:bCs/>
          <w:vertAlign w:val="superscript"/>
        </w:rPr>
        <w:t xml:space="preserve">rd </w:t>
      </w:r>
      <w:r w:rsidRPr="004F0119">
        <w:rPr>
          <w:bCs/>
        </w:rPr>
        <w:t>ed. forthcoming in 20</w:t>
      </w:r>
      <w:r>
        <w:rPr>
          <w:bCs/>
        </w:rPr>
        <w:t>20</w:t>
      </w:r>
    </w:p>
    <w:p w14:paraId="1457EE61" w14:textId="77777777" w:rsidR="00FD1004" w:rsidRPr="004F0119" w:rsidRDefault="00FD1004" w:rsidP="00FD1004">
      <w:pPr>
        <w:spacing w:line="240" w:lineRule="auto"/>
        <w:rPr>
          <w:bCs/>
        </w:rPr>
      </w:pPr>
    </w:p>
    <w:p w14:paraId="0C60B1D1" w14:textId="77777777" w:rsidR="00FD1004" w:rsidRPr="004F0119" w:rsidRDefault="00FD1004" w:rsidP="00FD1004">
      <w:pPr>
        <w:spacing w:line="240" w:lineRule="auto"/>
        <w:rPr>
          <w:bCs/>
        </w:rPr>
      </w:pPr>
    </w:p>
    <w:p w14:paraId="749269B4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>Work in progress:</w:t>
      </w:r>
    </w:p>
    <w:p w14:paraId="2FEE02DF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 xml:space="preserve">Legal commentary of sections §§ 182-191 </w:t>
      </w:r>
      <w:proofErr w:type="spellStart"/>
      <w:r w:rsidRPr="004F0119">
        <w:rPr>
          <w:bCs/>
        </w:rPr>
        <w:t>AktG</w:t>
      </w:r>
      <w:proofErr w:type="spellEnd"/>
      <w:r w:rsidRPr="004F0119">
        <w:rPr>
          <w:bCs/>
        </w:rPr>
        <w:t xml:space="preserve"> (Law of share capital increase) (with </w:t>
      </w:r>
      <w:r w:rsidRPr="004F0119">
        <w:rPr>
          <w:bCs/>
          <w:i/>
        </w:rPr>
        <w:t xml:space="preserve">J. </w:t>
      </w:r>
      <w:proofErr w:type="spellStart"/>
      <w:r w:rsidRPr="004F0119">
        <w:rPr>
          <w:bCs/>
          <w:i/>
        </w:rPr>
        <w:t>Adolff</w:t>
      </w:r>
      <w:proofErr w:type="spellEnd"/>
      <w:r w:rsidRPr="004F0119">
        <w:rPr>
          <w:bCs/>
        </w:rPr>
        <w:t>)</w:t>
      </w:r>
    </w:p>
    <w:p w14:paraId="58F0EED1" w14:textId="77777777" w:rsidR="00FD1004" w:rsidRPr="004F0119" w:rsidRDefault="00FD1004" w:rsidP="00FD1004">
      <w:pPr>
        <w:spacing w:line="240" w:lineRule="auto"/>
        <w:rPr>
          <w:bCs/>
        </w:rPr>
      </w:pPr>
      <w:r w:rsidRPr="004F0119">
        <w:rPr>
          <w:bCs/>
        </w:rPr>
        <w:t xml:space="preserve">in: </w:t>
      </w:r>
      <w:proofErr w:type="spellStart"/>
      <w:r w:rsidRPr="004F0119">
        <w:rPr>
          <w:bCs/>
        </w:rPr>
        <w:t>Großkommentar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AktG</w:t>
      </w:r>
      <w:proofErr w:type="spellEnd"/>
      <w:r w:rsidRPr="004F0119">
        <w:rPr>
          <w:bCs/>
        </w:rPr>
        <w:t>, 5</w:t>
      </w:r>
      <w:r w:rsidRPr="004F0119">
        <w:rPr>
          <w:bCs/>
          <w:vertAlign w:val="superscript"/>
        </w:rPr>
        <w:t>th</w:t>
      </w:r>
      <w:r w:rsidRPr="004F0119">
        <w:rPr>
          <w:bCs/>
        </w:rPr>
        <w:t xml:space="preserve"> ed. in preparation for 20</w:t>
      </w:r>
      <w:r>
        <w:rPr>
          <w:bCs/>
        </w:rPr>
        <w:t>20</w:t>
      </w:r>
    </w:p>
    <w:p w14:paraId="2E069E8B" w14:textId="77777777" w:rsidR="00FD1004" w:rsidRDefault="00FD1004" w:rsidP="00A21C49"/>
    <w:p w14:paraId="4EFD136F" w14:textId="461DC431" w:rsidR="00C17C8B" w:rsidRDefault="00C17C8B">
      <w:pPr>
        <w:spacing w:after="160" w:line="259" w:lineRule="auto"/>
        <w:jc w:val="left"/>
      </w:pPr>
      <w:r>
        <w:br w:type="page"/>
      </w:r>
    </w:p>
    <w:p w14:paraId="5DDF7A77" w14:textId="77777777" w:rsidR="005D3AD5" w:rsidRPr="0021012D" w:rsidRDefault="005D3AD5" w:rsidP="00C17C8B">
      <w:pPr>
        <w:pStyle w:val="berschrift1"/>
        <w:ind w:left="0" w:firstLine="0"/>
        <w:rPr>
          <w:smallCaps w:val="0"/>
          <w:color w:val="0070C0"/>
          <w:sz w:val="28"/>
          <w:szCs w:val="28"/>
        </w:rPr>
      </w:pPr>
      <w:r w:rsidRPr="0021012D">
        <w:rPr>
          <w:smallCaps w:val="0"/>
          <w:color w:val="0070C0"/>
          <w:sz w:val="28"/>
          <w:szCs w:val="28"/>
        </w:rPr>
        <w:lastRenderedPageBreak/>
        <w:t>Articles in Law Reviews and Books</w:t>
      </w:r>
    </w:p>
    <w:p w14:paraId="616A0BB5" w14:textId="77777777" w:rsidR="005D3AD5" w:rsidRPr="004F0119" w:rsidRDefault="005D3AD5" w:rsidP="005D3AD5">
      <w:pPr>
        <w:spacing w:line="240" w:lineRule="auto"/>
        <w:rPr>
          <w:bCs/>
        </w:rPr>
      </w:pPr>
    </w:p>
    <w:p w14:paraId="3C500ED9" w14:textId="77777777" w:rsidR="005D3AD5" w:rsidRPr="004F0119" w:rsidRDefault="0021012D" w:rsidP="005D3AD5">
      <w:pPr>
        <w:pStyle w:val="berschrift2"/>
      </w:pPr>
      <w:r>
        <w:t>I</w:t>
      </w:r>
      <w:r w:rsidR="005D3AD5" w:rsidRPr="004F0119">
        <w:t>. Articles on European Law and Legal Theory</w:t>
      </w:r>
    </w:p>
    <w:p w14:paraId="66566A7B" w14:textId="77777777" w:rsidR="005D3AD5" w:rsidRPr="004F0119" w:rsidRDefault="005D3AD5" w:rsidP="005D3AD5">
      <w:pPr>
        <w:spacing w:line="240" w:lineRule="auto"/>
        <w:rPr>
          <w:bCs/>
        </w:rPr>
      </w:pPr>
    </w:p>
    <w:p w14:paraId="1C3FCDBF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Zur Rolle des Richters in der anglo-amerikanischen Rechtstheorie</w:t>
      </w:r>
    </w:p>
    <w:p w14:paraId="56C4E2CA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(The role of judges in </w:t>
      </w:r>
      <w:proofErr w:type="spellStart"/>
      <w:r w:rsidRPr="004F0119">
        <w:rPr>
          <w:bCs/>
          <w:lang w:val="en-GB"/>
        </w:rPr>
        <w:t>anglo-american</w:t>
      </w:r>
      <w:proofErr w:type="spellEnd"/>
      <w:r w:rsidRPr="004F0119">
        <w:rPr>
          <w:bCs/>
          <w:lang w:val="en-GB"/>
        </w:rPr>
        <w:t xml:space="preserve"> legal theory)</w:t>
      </w:r>
    </w:p>
    <w:p w14:paraId="5A3D4762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proofErr w:type="spellStart"/>
      <w:r w:rsidRPr="004F0119">
        <w:rPr>
          <w:bCs/>
          <w:lang w:val="en-GB"/>
        </w:rPr>
        <w:t>Rechtstheorie</w:t>
      </w:r>
      <w:proofErr w:type="spellEnd"/>
      <w:r w:rsidRPr="004F0119">
        <w:rPr>
          <w:bCs/>
          <w:lang w:val="en-GB"/>
        </w:rPr>
        <w:t xml:space="preserve"> 1994, </w:t>
      </w:r>
      <w:r>
        <w:rPr>
          <w:bCs/>
          <w:lang w:val="en-GB"/>
        </w:rPr>
        <w:t>p. </w:t>
      </w:r>
      <w:r w:rsidRPr="004F0119">
        <w:rPr>
          <w:bCs/>
          <w:lang w:val="en-GB"/>
        </w:rPr>
        <w:t>392</w:t>
      </w:r>
    </w:p>
    <w:p w14:paraId="7BE858EF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translated by Prof. </w:t>
      </w:r>
      <w:proofErr w:type="spellStart"/>
      <w:r w:rsidRPr="004F0119">
        <w:rPr>
          <w:bCs/>
          <w:lang w:val="en-GB"/>
        </w:rPr>
        <w:t>Dr.</w:t>
      </w:r>
      <w:proofErr w:type="spellEnd"/>
      <w:r w:rsidRPr="004F0119">
        <w:rPr>
          <w:bCs/>
          <w:lang w:val="en-GB"/>
        </w:rPr>
        <w:t xml:space="preserve"> </w:t>
      </w:r>
      <w:proofErr w:type="spellStart"/>
      <w:r w:rsidRPr="004F0119">
        <w:rPr>
          <w:bCs/>
          <w:lang w:val="en-GB"/>
        </w:rPr>
        <w:t>Byun</w:t>
      </w:r>
      <w:proofErr w:type="spellEnd"/>
      <w:r w:rsidRPr="004F0119">
        <w:rPr>
          <w:bCs/>
          <w:lang w:val="en-GB"/>
        </w:rPr>
        <w:t>, Jong-</w:t>
      </w:r>
      <w:proofErr w:type="spellStart"/>
      <w:r w:rsidRPr="004F0119">
        <w:rPr>
          <w:bCs/>
          <w:lang w:val="en-GB"/>
        </w:rPr>
        <w:t>Pil</w:t>
      </w:r>
      <w:proofErr w:type="spellEnd"/>
      <w:r w:rsidRPr="004F0119">
        <w:rPr>
          <w:bCs/>
          <w:lang w:val="en-GB"/>
        </w:rPr>
        <w:t xml:space="preserve">, </w:t>
      </w:r>
      <w:proofErr w:type="spellStart"/>
      <w:r w:rsidRPr="004F0119">
        <w:rPr>
          <w:bCs/>
          <w:lang w:val="en-GB"/>
        </w:rPr>
        <w:t>Inje</w:t>
      </w:r>
      <w:proofErr w:type="spellEnd"/>
      <w:r w:rsidRPr="004F0119">
        <w:rPr>
          <w:bCs/>
          <w:lang w:val="en-GB"/>
        </w:rPr>
        <w:t xml:space="preserve"> University of Korea, published in: Legal Philosophy Research 2003, Ma</w:t>
      </w:r>
      <w:r>
        <w:rPr>
          <w:bCs/>
          <w:lang w:val="en-GB"/>
        </w:rPr>
        <w:t>y</w:t>
      </w:r>
      <w:r w:rsidRPr="004F0119">
        <w:rPr>
          <w:bCs/>
          <w:lang w:val="en-GB"/>
        </w:rPr>
        <w:t xml:space="preserve"> issue</w:t>
      </w:r>
    </w:p>
    <w:p w14:paraId="1BA8BCF7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</w:p>
    <w:p w14:paraId="33661830" w14:textId="77777777" w:rsidR="005D3AD5" w:rsidRPr="004F0119" w:rsidRDefault="005D3AD5" w:rsidP="005D3AD5">
      <w:pPr>
        <w:spacing w:line="240" w:lineRule="auto"/>
        <w:rPr>
          <w:b/>
          <w:bCs/>
          <w:lang w:val="en-GB"/>
        </w:rPr>
      </w:pPr>
      <w:r w:rsidRPr="004F0119">
        <w:rPr>
          <w:b/>
          <w:bCs/>
          <w:lang w:val="en-GB"/>
        </w:rPr>
        <w:t>Argument by Analogy in European Law</w:t>
      </w:r>
    </w:p>
    <w:p w14:paraId="6EBAB5B6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The Cambridge Law Journal 1998, </w:t>
      </w:r>
      <w:r>
        <w:rPr>
          <w:bCs/>
          <w:lang w:val="en-GB"/>
        </w:rPr>
        <w:t>p. </w:t>
      </w:r>
      <w:r w:rsidRPr="004F0119">
        <w:rPr>
          <w:bCs/>
          <w:lang w:val="en-GB"/>
        </w:rPr>
        <w:t>481</w:t>
      </w:r>
    </w:p>
    <w:p w14:paraId="0BDA03E0" w14:textId="77777777" w:rsidR="00464AC0" w:rsidRDefault="00464AC0" w:rsidP="005D3AD5">
      <w:pPr>
        <w:spacing w:line="240" w:lineRule="auto"/>
        <w:rPr>
          <w:bCs/>
          <w:lang w:val="en-GB"/>
        </w:rPr>
      </w:pPr>
    </w:p>
    <w:p w14:paraId="45D36C7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Vorüberlegungen zu einer europarechtlichen Methodenlehre</w:t>
      </w:r>
    </w:p>
    <w:p w14:paraId="5AF5AF28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(</w:t>
      </w:r>
      <w:proofErr w:type="spellStart"/>
      <w:r w:rsidRPr="0066550A">
        <w:rPr>
          <w:bCs/>
          <w:lang w:val="de-DE"/>
        </w:rPr>
        <w:t>Premises</w:t>
      </w:r>
      <w:proofErr w:type="spellEnd"/>
      <w:r w:rsidRPr="0066550A">
        <w:rPr>
          <w:bCs/>
          <w:lang w:val="de-DE"/>
        </w:rPr>
        <w:t xml:space="preserve"> of a European legal </w:t>
      </w:r>
      <w:proofErr w:type="spellStart"/>
      <w:r w:rsidRPr="0066550A">
        <w:rPr>
          <w:bCs/>
          <w:lang w:val="de-DE"/>
        </w:rPr>
        <w:t>theory</w:t>
      </w:r>
      <w:proofErr w:type="spellEnd"/>
      <w:r w:rsidRPr="0066550A">
        <w:rPr>
          <w:bCs/>
          <w:lang w:val="de-DE"/>
        </w:rPr>
        <w:t xml:space="preserve"> of </w:t>
      </w:r>
      <w:proofErr w:type="spellStart"/>
      <w:r w:rsidRPr="0066550A">
        <w:rPr>
          <w:bCs/>
          <w:lang w:val="de-DE"/>
        </w:rPr>
        <w:t>law</w:t>
      </w:r>
      <w:proofErr w:type="spellEnd"/>
      <w:r w:rsidRPr="0066550A">
        <w:rPr>
          <w:bCs/>
          <w:lang w:val="de-DE"/>
        </w:rPr>
        <w:t>)</w:t>
      </w:r>
    </w:p>
    <w:p w14:paraId="1E4D70C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in: Ackermann et al. (Eds.), Jahrbuch junger Zivilrechtswissenschaftler 1999, Tradition und Fortschritt im Recht, Conference in Bonn September 8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>–11</w:t>
      </w:r>
      <w:r w:rsidRPr="0066550A">
        <w:rPr>
          <w:bCs/>
          <w:vertAlign w:val="superscript"/>
          <w:lang w:val="de-DE"/>
        </w:rPr>
        <w:t>th</w:t>
      </w:r>
      <w:r w:rsidRPr="0066550A">
        <w:rPr>
          <w:bCs/>
          <w:lang w:val="de-DE"/>
        </w:rPr>
        <w:t xml:space="preserve"> 1999, Stuttgart/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/Hannover/Berlin/Weimar/Dres</w:t>
      </w:r>
      <w:r w:rsidRPr="0066550A">
        <w:rPr>
          <w:bCs/>
          <w:lang w:val="de-DE"/>
        </w:rPr>
        <w:softHyphen/>
        <w:t>den 2000, p. 65</w:t>
      </w:r>
    </w:p>
    <w:p w14:paraId="1BEBE3E0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4391C597" w14:textId="77777777" w:rsidR="005D3AD5" w:rsidRPr="0066550A" w:rsidRDefault="005D3AD5" w:rsidP="005D3AD5">
      <w:pPr>
        <w:spacing w:line="240" w:lineRule="auto"/>
        <w:rPr>
          <w:lang w:val="de-DE"/>
        </w:rPr>
      </w:pPr>
      <w:r w:rsidRPr="0066550A">
        <w:rPr>
          <w:lang w:val="de-DE"/>
        </w:rPr>
        <w:t xml:space="preserve">Zur Legitimität parlamentsersetzender </w:t>
      </w:r>
      <w:proofErr w:type="spellStart"/>
      <w:r w:rsidRPr="0066550A">
        <w:rPr>
          <w:lang w:val="de-DE"/>
        </w:rPr>
        <w:t>Normgebungsverfahren</w:t>
      </w:r>
      <w:proofErr w:type="spellEnd"/>
      <w:r w:rsidRPr="0066550A">
        <w:rPr>
          <w:lang w:val="de-DE"/>
        </w:rPr>
        <w:t xml:space="preserve"> im Europarecht</w:t>
      </w:r>
    </w:p>
    <w:p w14:paraId="4A561B0E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(The legitimacy of extra-parliamentary establishment of legal norms)</w:t>
      </w:r>
    </w:p>
    <w:p w14:paraId="6458C2D2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proofErr w:type="spellStart"/>
      <w:r w:rsidRPr="0066550A">
        <w:rPr>
          <w:bCs/>
          <w:lang w:val="de-DE"/>
        </w:rPr>
        <w:t>ZEuP</w:t>
      </w:r>
      <w:proofErr w:type="spellEnd"/>
      <w:r w:rsidRPr="0066550A">
        <w:rPr>
          <w:bCs/>
          <w:lang w:val="de-DE"/>
        </w:rPr>
        <w:t xml:space="preserve"> 2002, p. 265</w:t>
      </w:r>
    </w:p>
    <w:p w14:paraId="3C36F138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22D0BFA5" w14:textId="77777777" w:rsidR="005D3AD5" w:rsidRPr="0066550A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Das </w:t>
      </w:r>
      <w:proofErr w:type="spellStart"/>
      <w:r w:rsidRPr="0066550A">
        <w:rPr>
          <w:bCs/>
          <w:lang w:val="de-DE"/>
        </w:rPr>
        <w:t>Dezisionismusargument</w:t>
      </w:r>
      <w:proofErr w:type="spellEnd"/>
      <w:r w:rsidRPr="0066550A">
        <w:rPr>
          <w:bCs/>
          <w:lang w:val="de-DE"/>
        </w:rPr>
        <w:t xml:space="preserve"> in der deutschen und in der US-amerikanischen Rechtstheorie</w:t>
      </w:r>
    </w:p>
    <w:p w14:paraId="3D54EFAA" w14:textId="77777777" w:rsidR="005D3AD5" w:rsidRPr="004F0119" w:rsidRDefault="005D3AD5" w:rsidP="005D3AD5">
      <w:pPr>
        <w:keepNext/>
        <w:keepLines/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(The argument from decisionism in German and Anglo-American legal theory)</w:t>
      </w:r>
    </w:p>
    <w:p w14:paraId="7E7B149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ARSP 88 (2002), p. 397</w:t>
      </w:r>
    </w:p>
    <w:p w14:paraId="52D2AC4B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77288A6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Rechtsprechung mit Wirkung für die Zukunft</w:t>
      </w:r>
    </w:p>
    <w:p w14:paraId="695213AA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(Protective overruling in German courts)</w:t>
      </w:r>
    </w:p>
    <w:p w14:paraId="0CC94BF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JZ 2003, p. 1132</w:t>
      </w:r>
    </w:p>
    <w:p w14:paraId="2174B341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150D7AA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Recht und Zeit</w:t>
      </w:r>
    </w:p>
    <w:p w14:paraId="412697A1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(Law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time)</w:t>
      </w:r>
    </w:p>
    <w:p w14:paraId="0093E238" w14:textId="77777777" w:rsidR="005D3AD5" w:rsidRPr="00F16DBF" w:rsidRDefault="005D3AD5" w:rsidP="005D3AD5">
      <w:pPr>
        <w:spacing w:line="240" w:lineRule="auto"/>
        <w:rPr>
          <w:bCs/>
        </w:rPr>
      </w:pPr>
      <w:r w:rsidRPr="00F16DBF">
        <w:rPr>
          <w:bCs/>
        </w:rPr>
        <w:t>IVR Conference Kiel 2004, ARSP 91 (2005), p. 55</w:t>
      </w:r>
    </w:p>
    <w:p w14:paraId="445A32F2" w14:textId="77777777" w:rsidR="005D3AD5" w:rsidRPr="00F16DBF" w:rsidRDefault="005D3AD5" w:rsidP="005D3AD5">
      <w:pPr>
        <w:spacing w:line="240" w:lineRule="auto"/>
        <w:rPr>
          <w:bCs/>
        </w:rPr>
      </w:pPr>
    </w:p>
    <w:p w14:paraId="53613505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Zur Anerkennung des „</w:t>
      </w:r>
      <w:proofErr w:type="spellStart"/>
      <w:r w:rsidRPr="0066550A">
        <w:rPr>
          <w:bCs/>
          <w:lang w:val="de-DE"/>
        </w:rPr>
        <w:t>Prospective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overruling</w:t>
      </w:r>
      <w:proofErr w:type="spellEnd"/>
      <w:r w:rsidRPr="0066550A">
        <w:rPr>
          <w:bCs/>
          <w:lang w:val="de-DE"/>
        </w:rPr>
        <w:t>“ im englischen Kreditsicherungsrecht</w:t>
      </w:r>
    </w:p>
    <w:p w14:paraId="533BF494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(Prospective overruling in English Law)</w:t>
      </w:r>
    </w:p>
    <w:p w14:paraId="3E22C3F5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proofErr w:type="spellStart"/>
      <w:r w:rsidRPr="0066550A">
        <w:rPr>
          <w:bCs/>
          <w:lang w:val="de-DE"/>
        </w:rPr>
        <w:t>ZEuP</w:t>
      </w:r>
      <w:proofErr w:type="spellEnd"/>
      <w:r w:rsidRPr="0066550A">
        <w:rPr>
          <w:bCs/>
          <w:lang w:val="de-DE"/>
        </w:rPr>
        <w:t xml:space="preserve"> 2006, p. 854</w:t>
      </w:r>
    </w:p>
    <w:p w14:paraId="56C460F3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46C8270A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Vertrauensenttäuschung durch Rechtsprechungsänderungen im deutschen und im englischen Privatrecht</w:t>
      </w:r>
    </w:p>
    <w:p w14:paraId="078E7F88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(Changes of judge-made law and issues of legal reliance)</w:t>
      </w:r>
    </w:p>
    <w:p w14:paraId="00BF302B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Liber </w:t>
      </w:r>
      <w:proofErr w:type="spellStart"/>
      <w:r w:rsidRPr="0066550A">
        <w:rPr>
          <w:bCs/>
          <w:lang w:val="de-DE"/>
        </w:rPr>
        <w:t>Amicorum</w:t>
      </w:r>
      <w:proofErr w:type="spellEnd"/>
      <w:r w:rsidRPr="0066550A">
        <w:rPr>
          <w:bCs/>
          <w:lang w:val="de-DE"/>
        </w:rPr>
        <w:t xml:space="preserve"> Norbert Horn, Berlin 2006, p. 1179</w:t>
      </w:r>
    </w:p>
    <w:p w14:paraId="41A79818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5582AC95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Prospektive Rechtsprechungsänderungen im französischen Recht</w:t>
      </w:r>
    </w:p>
    <w:p w14:paraId="1123A999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(</w:t>
      </w:r>
      <w:proofErr w:type="spellStart"/>
      <w:r w:rsidRPr="0066550A">
        <w:rPr>
          <w:bCs/>
          <w:lang w:val="de-DE"/>
        </w:rPr>
        <w:t>Prospective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overruling</w:t>
      </w:r>
      <w:proofErr w:type="spellEnd"/>
      <w:r w:rsidRPr="0066550A">
        <w:rPr>
          <w:bCs/>
          <w:lang w:val="de-DE"/>
        </w:rPr>
        <w:t xml:space="preserve"> in French Law)</w:t>
      </w:r>
    </w:p>
    <w:p w14:paraId="202E016A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Liber </w:t>
      </w:r>
      <w:proofErr w:type="spellStart"/>
      <w:r w:rsidRPr="0066550A">
        <w:rPr>
          <w:bCs/>
          <w:lang w:val="de-DE"/>
        </w:rPr>
        <w:t>Amicorum</w:t>
      </w:r>
      <w:proofErr w:type="spellEnd"/>
      <w:r w:rsidRPr="0066550A">
        <w:rPr>
          <w:bCs/>
          <w:lang w:val="de-DE"/>
        </w:rPr>
        <w:t xml:space="preserve"> Helmut Koziol, Vienna 2010, p. 1411</w:t>
      </w:r>
    </w:p>
    <w:p w14:paraId="1FF9072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2F93BC6E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Europarechtliche Methodenlehre (European Legal </w:t>
      </w:r>
      <w:proofErr w:type="spellStart"/>
      <w:r w:rsidRPr="0066550A">
        <w:rPr>
          <w:bCs/>
          <w:lang w:val="de-DE"/>
        </w:rPr>
        <w:t>Theory</w:t>
      </w:r>
      <w:proofErr w:type="spellEnd"/>
      <w:r w:rsidRPr="0066550A">
        <w:rPr>
          <w:bCs/>
          <w:lang w:val="de-DE"/>
        </w:rPr>
        <w:t>)</w:t>
      </w:r>
    </w:p>
    <w:p w14:paraId="51B0A552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lastRenderedPageBreak/>
        <w:t xml:space="preserve">in: Langenbucher (Ed.), </w:t>
      </w:r>
      <w:r w:rsidRPr="0066550A">
        <w:rPr>
          <w:lang w:val="de-DE"/>
        </w:rPr>
        <w:t xml:space="preserve">Europäisches Privat- und Wirtschaftsrecht </w:t>
      </w:r>
      <w:r w:rsidRPr="0066550A">
        <w:rPr>
          <w:bCs/>
          <w:lang w:val="de-DE"/>
        </w:rPr>
        <w:t xml:space="preserve">(European Private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Corporate Law)</w:t>
      </w:r>
    </w:p>
    <w:p w14:paraId="00C32112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(1</w:t>
      </w:r>
      <w:r w:rsidRPr="0066550A">
        <w:rPr>
          <w:bCs/>
          <w:vertAlign w:val="superscript"/>
          <w:lang w:val="de-DE"/>
        </w:rPr>
        <w:t>st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and</w:t>
      </w:r>
      <w:proofErr w:type="spellEnd"/>
      <w:r w:rsidRPr="0066550A">
        <w:rPr>
          <w:bCs/>
          <w:lang w:val="de-DE"/>
        </w:rPr>
        <w:t xml:space="preserve"> 2</w:t>
      </w:r>
      <w:r w:rsidRPr="0066550A">
        <w:rPr>
          <w:bCs/>
          <w:vertAlign w:val="superscript"/>
          <w:lang w:val="de-DE"/>
        </w:rPr>
        <w:t>nd</w:t>
      </w:r>
      <w:r w:rsidRPr="0066550A">
        <w:rPr>
          <w:bCs/>
          <w:lang w:val="de-DE"/>
        </w:rPr>
        <w:t> 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 xml:space="preserve">. </w:t>
      </w:r>
      <w:proofErr w:type="spellStart"/>
      <w:r w:rsidRPr="0066550A">
        <w:rPr>
          <w:bCs/>
          <w:lang w:val="de-DE"/>
        </w:rPr>
        <w:t>appeared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under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the</w:t>
      </w:r>
      <w:proofErr w:type="spellEnd"/>
      <w:r w:rsidRPr="0066550A">
        <w:rPr>
          <w:bCs/>
          <w:lang w:val="de-DE"/>
        </w:rPr>
        <w:t xml:space="preserve"> title Europarechtliche Bezüge des Privatrechts), 3</w:t>
      </w:r>
      <w:r w:rsidRPr="0066550A">
        <w:rPr>
          <w:bCs/>
          <w:vertAlign w:val="superscript"/>
          <w:lang w:val="de-DE"/>
        </w:rPr>
        <w:t>rd</w:t>
      </w:r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ed</w:t>
      </w:r>
      <w:proofErr w:type="spellEnd"/>
      <w:r w:rsidRPr="0066550A">
        <w:rPr>
          <w:bCs/>
          <w:lang w:val="de-DE"/>
        </w:rPr>
        <w:t>. Baden-Baden 2013, p. 25</w:t>
      </w:r>
    </w:p>
    <w:p w14:paraId="58D860B1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0002462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Bemerkungen zum „naturalistischen Fehlschluss“</w:t>
      </w:r>
    </w:p>
    <w:p w14:paraId="724977DD" w14:textId="77777777" w:rsidR="005D3AD5" w:rsidRPr="00025D14" w:rsidRDefault="005D3AD5" w:rsidP="005D3AD5">
      <w:pPr>
        <w:spacing w:line="240" w:lineRule="auto"/>
        <w:rPr>
          <w:bCs/>
        </w:rPr>
      </w:pPr>
      <w:r w:rsidRPr="00025D14">
        <w:rPr>
          <w:bCs/>
        </w:rPr>
        <w:t>(Remarks on the "naturalistic fallacy</w:t>
      </w:r>
      <w:r>
        <w:rPr>
          <w:bCs/>
        </w:rPr>
        <w:t>”)</w:t>
      </w:r>
    </w:p>
    <w:p w14:paraId="0788609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Liber </w:t>
      </w:r>
      <w:proofErr w:type="spellStart"/>
      <w:r w:rsidRPr="0066550A">
        <w:rPr>
          <w:bCs/>
          <w:lang w:val="de-DE"/>
        </w:rPr>
        <w:t>Amicorum</w:t>
      </w:r>
      <w:proofErr w:type="spellEnd"/>
      <w:r w:rsidRPr="0066550A">
        <w:rPr>
          <w:bCs/>
          <w:lang w:val="de-DE"/>
        </w:rPr>
        <w:t xml:space="preserve"> Neumann, Heidelberg 2017, p. 247</w:t>
      </w:r>
    </w:p>
    <w:p w14:paraId="15EF03B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0D6F0C95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Dogmatik, Falsifikation und zwei Perspektiven auf die Rechtswissenschaft</w:t>
      </w:r>
    </w:p>
    <w:p w14:paraId="784255F7" w14:textId="77777777" w:rsidR="005D3AD5" w:rsidRPr="009A3627" w:rsidRDefault="005D3AD5" w:rsidP="005D3AD5">
      <w:pPr>
        <w:spacing w:line="240" w:lineRule="auto"/>
        <w:rPr>
          <w:bCs/>
        </w:rPr>
      </w:pPr>
      <w:r w:rsidRPr="009A3627">
        <w:rPr>
          <w:bCs/>
        </w:rPr>
        <w:t>(Dogmatics, falsification and two perspectives on jurisprudence</w:t>
      </w:r>
      <w:r>
        <w:rPr>
          <w:bCs/>
        </w:rPr>
        <w:t>)</w:t>
      </w:r>
    </w:p>
    <w:p w14:paraId="23E8DA85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Liber </w:t>
      </w:r>
      <w:proofErr w:type="spellStart"/>
      <w:r w:rsidRPr="004F0119">
        <w:rPr>
          <w:bCs/>
        </w:rPr>
        <w:t>Amicorum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Canaris</w:t>
      </w:r>
      <w:proofErr w:type="spellEnd"/>
      <w:r w:rsidRPr="004F0119">
        <w:rPr>
          <w:bCs/>
        </w:rPr>
        <w:t xml:space="preserve">, Berlin 2017, </w:t>
      </w:r>
      <w:r>
        <w:rPr>
          <w:bCs/>
        </w:rPr>
        <w:t>p. </w:t>
      </w:r>
      <w:r w:rsidRPr="004F0119">
        <w:rPr>
          <w:bCs/>
        </w:rPr>
        <w:t>219</w:t>
      </w:r>
    </w:p>
    <w:p w14:paraId="3713E879" w14:textId="77777777" w:rsidR="005D3AD5" w:rsidRPr="004F0119" w:rsidRDefault="005D3AD5" w:rsidP="005D3AD5">
      <w:pPr>
        <w:spacing w:line="240" w:lineRule="auto"/>
        <w:rPr>
          <w:bCs/>
        </w:rPr>
      </w:pPr>
    </w:p>
    <w:p w14:paraId="11CA40BA" w14:textId="77777777" w:rsidR="005D3AD5" w:rsidRPr="004F0119" w:rsidRDefault="0021012D" w:rsidP="0021012D">
      <w:pPr>
        <w:pStyle w:val="berschrift2"/>
        <w:ind w:left="0" w:firstLine="0"/>
      </w:pPr>
      <w:r w:rsidRPr="0021012D">
        <w:rPr>
          <w:rFonts w:eastAsiaTheme="minorEastAsia" w:cs="Times New Roman"/>
          <w:bCs/>
          <w:color w:val="auto"/>
          <w:szCs w:val="22"/>
        </w:rPr>
        <w:t>II</w:t>
      </w:r>
      <w:r w:rsidR="005D3AD5" w:rsidRPr="0021012D">
        <w:t>.</w:t>
      </w:r>
      <w:r w:rsidR="005D3AD5" w:rsidRPr="004F0119">
        <w:t xml:space="preserve"> Articles on Corporate and Banking Law</w:t>
      </w:r>
    </w:p>
    <w:p w14:paraId="1721E016" w14:textId="77777777" w:rsidR="005D3AD5" w:rsidRPr="004F0119" w:rsidRDefault="005D3AD5" w:rsidP="005D3AD5">
      <w:pPr>
        <w:keepNext/>
        <w:keepLines/>
        <w:spacing w:line="240" w:lineRule="auto"/>
        <w:rPr>
          <w:bCs/>
        </w:rPr>
      </w:pPr>
    </w:p>
    <w:p w14:paraId="099E6E88" w14:textId="77777777" w:rsidR="005D3AD5" w:rsidRPr="0066550A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Die Verteilung des Risikos des Kreditkartenmissbrauchs bei Distanzgeschäften</w:t>
      </w:r>
      <w:r w:rsidRPr="0066550A">
        <w:rPr>
          <w:bCs/>
          <w:lang w:val="de-DE"/>
        </w:rPr>
        <w:br/>
      </w:r>
      <w:r w:rsidRPr="0066550A">
        <w:rPr>
          <w:lang w:val="de-DE"/>
        </w:rPr>
        <w:t>– zugleich eine Besprechung von BGH, Beschl. v. 25.9.2001 – XI ZR 375/00 und OLG Frankfurt a. M., Urt. v. 25.7.2001 – 19 U 3/01</w:t>
      </w:r>
      <w:r w:rsidRPr="0066550A">
        <w:rPr>
          <w:i/>
          <w:lang w:val="de-DE"/>
        </w:rPr>
        <w:t xml:space="preserve"> –</w:t>
      </w:r>
    </w:p>
    <w:p w14:paraId="1E031646" w14:textId="77777777" w:rsidR="005D3AD5" w:rsidRPr="004F0119" w:rsidRDefault="005D3AD5" w:rsidP="005D3AD5">
      <w:pPr>
        <w:keepNext/>
        <w:keepLines/>
        <w:spacing w:line="240" w:lineRule="auto"/>
        <w:rPr>
          <w:lang w:val="en-GB"/>
        </w:rPr>
      </w:pPr>
      <w:r w:rsidRPr="004F0119">
        <w:rPr>
          <w:lang w:val="en-GB"/>
        </w:rPr>
        <w:t>(Risk allocation and fraud in credit card payments)</w:t>
      </w:r>
    </w:p>
    <w:p w14:paraId="777A3E1D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iCs/>
          <w:lang w:val="de-DE"/>
        </w:rPr>
        <w:t>BKR 2002, p. 119</w:t>
      </w:r>
    </w:p>
    <w:p w14:paraId="27ADD1B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5252A0E9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Schutz- und Neutralitätspflichten in </w:t>
      </w:r>
      <w:r w:rsidRPr="0066550A">
        <w:rPr>
          <w:lang w:val="de-DE"/>
        </w:rPr>
        <w:t>Zahlungssystem</w:t>
      </w:r>
      <w:r w:rsidRPr="0066550A">
        <w:rPr>
          <w:bCs/>
          <w:lang w:val="de-DE"/>
        </w:rPr>
        <w:t>en</w:t>
      </w:r>
    </w:p>
    <w:p w14:paraId="46F3DF2A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(Duties to protect and duties to stay neutral in payment systems)</w:t>
      </w:r>
    </w:p>
    <w:p w14:paraId="14C523E7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in: Kontinuität im Wandel der Rechtsordnung, </w:t>
      </w:r>
      <w:r w:rsidRPr="0066550A">
        <w:rPr>
          <w:lang w:val="de-DE"/>
        </w:rPr>
        <w:t>Beiträge für Claus-Wilhelm Canaris zum 65. Geburtstag</w:t>
      </w:r>
      <w:r w:rsidRPr="0066550A">
        <w:rPr>
          <w:bCs/>
          <w:lang w:val="de-DE"/>
        </w:rPr>
        <w:t xml:space="preserve">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2002, p. 65</w:t>
      </w:r>
    </w:p>
    <w:p w14:paraId="69FF1FFE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7B7B539F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Anmerkung zu BGH vom 24.9.2002 XI ZR 420/01 (Widerruf der Kreditkartenzahlung)</w:t>
      </w:r>
    </w:p>
    <w:p w14:paraId="454400B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(</w:t>
      </w:r>
      <w:proofErr w:type="spellStart"/>
      <w:r w:rsidRPr="0066550A">
        <w:rPr>
          <w:bCs/>
          <w:lang w:val="de-DE"/>
        </w:rPr>
        <w:t>case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comment</w:t>
      </w:r>
      <w:proofErr w:type="spellEnd"/>
      <w:r w:rsidRPr="0066550A">
        <w:rPr>
          <w:bCs/>
          <w:lang w:val="de-DE"/>
        </w:rPr>
        <w:t>)</w:t>
      </w:r>
    </w:p>
    <w:p w14:paraId="5CDCFD71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lang w:val="de-DE"/>
        </w:rPr>
        <w:t>BKR</w:t>
      </w:r>
      <w:r w:rsidRPr="0066550A">
        <w:rPr>
          <w:bCs/>
          <w:lang w:val="de-DE"/>
        </w:rPr>
        <w:t xml:space="preserve"> 2002, p. 1106</w:t>
      </w:r>
    </w:p>
    <w:p w14:paraId="24F3CD6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381B3A0A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Die Lösung vom Darlehensvertrag</w:t>
      </w:r>
    </w:p>
    <w:p w14:paraId="078E5AC4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  <w:lang w:val="en-GB"/>
        </w:rPr>
        <w:t>(The termination of credit contracts)</w:t>
      </w:r>
    </w:p>
    <w:p w14:paraId="7B3CCF77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in: Dauner-Lieb/</w:t>
      </w:r>
      <w:proofErr w:type="spellStart"/>
      <w:r w:rsidRPr="0066550A">
        <w:rPr>
          <w:bCs/>
          <w:lang w:val="de-DE"/>
        </w:rPr>
        <w:t>Konzen</w:t>
      </w:r>
      <w:proofErr w:type="spellEnd"/>
      <w:r w:rsidRPr="0066550A">
        <w:rPr>
          <w:bCs/>
          <w:lang w:val="de-DE"/>
        </w:rPr>
        <w:t xml:space="preserve">/K. Schmidt (Eds.), </w:t>
      </w:r>
      <w:r w:rsidRPr="0066550A">
        <w:rPr>
          <w:lang w:val="de-DE"/>
        </w:rPr>
        <w:t>Die Schuldrechtsreform in der juristischen Praxis</w:t>
      </w:r>
      <w:r w:rsidRPr="0066550A">
        <w:rPr>
          <w:bCs/>
          <w:lang w:val="de-DE"/>
        </w:rPr>
        <w:t>, Cologne 2002, p. 569</w:t>
      </w:r>
    </w:p>
    <w:p w14:paraId="66F00642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212CFFE6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Zum Tatbestand der verdeckten Sacheinlage bei der GmbH</w:t>
      </w:r>
    </w:p>
    <w:p w14:paraId="5661DFF0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  <w:lang w:val="en-GB"/>
        </w:rPr>
        <w:t>(On undisclosed contributions in kind in the law of the German company limited by shares)</w:t>
      </w:r>
    </w:p>
    <w:p w14:paraId="03D8DBA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lang w:val="de-DE"/>
        </w:rPr>
        <w:t>NZG</w:t>
      </w:r>
      <w:r w:rsidRPr="0066550A">
        <w:rPr>
          <w:bCs/>
          <w:lang w:val="de-DE"/>
        </w:rPr>
        <w:t xml:space="preserve"> 2003, p. 211</w:t>
      </w:r>
    </w:p>
    <w:p w14:paraId="31701506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33E36238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Anmerkung zu BGH, Urt. v. 4.11.2002 – II ZR 204/00 (Haftungsverfassung der Vor-GmbH)</w:t>
      </w:r>
    </w:p>
    <w:p w14:paraId="353BCC6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(</w:t>
      </w:r>
      <w:proofErr w:type="spellStart"/>
      <w:r w:rsidRPr="0066550A">
        <w:rPr>
          <w:bCs/>
          <w:lang w:val="de-DE"/>
        </w:rPr>
        <w:t>case</w:t>
      </w:r>
      <w:proofErr w:type="spellEnd"/>
      <w:r w:rsidRPr="0066550A">
        <w:rPr>
          <w:bCs/>
          <w:lang w:val="de-DE"/>
        </w:rPr>
        <w:t xml:space="preserve"> </w:t>
      </w:r>
      <w:proofErr w:type="spellStart"/>
      <w:r w:rsidRPr="0066550A">
        <w:rPr>
          <w:bCs/>
          <w:lang w:val="de-DE"/>
        </w:rPr>
        <w:t>comment</w:t>
      </w:r>
      <w:proofErr w:type="spellEnd"/>
      <w:r w:rsidRPr="0066550A">
        <w:rPr>
          <w:bCs/>
          <w:lang w:val="de-DE"/>
        </w:rPr>
        <w:t>)</w:t>
      </w:r>
    </w:p>
    <w:p w14:paraId="521E090D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JZ 2003, p. 626</w:t>
      </w:r>
    </w:p>
    <w:p w14:paraId="654E0BF1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7E2CFCAE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Zur Rechtsfolge der verdeckten Sacheinlage bei der GmbH</w:t>
      </w:r>
    </w:p>
    <w:p w14:paraId="1EE6A124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(On undisclosed contributions in kind in the law of the German company limited by shares)</w:t>
      </w:r>
    </w:p>
    <w:p w14:paraId="10C0945C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DStR 2003, p. 1838</w:t>
      </w:r>
    </w:p>
    <w:p w14:paraId="47083C5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21FF311E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Umsetzung von Basel II gegenüber dem Kunden, insbesondere beim internen Rating</w:t>
      </w:r>
    </w:p>
    <w:p w14:paraId="560C1421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(Basel II, internal Rating and banking law)</w:t>
      </w:r>
    </w:p>
    <w:p w14:paraId="286D13BA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Schriftenreihe der Bankrechtlichen Vereinigung, Bankrechtstag 2004, p.63</w:t>
      </w:r>
    </w:p>
    <w:p w14:paraId="7B9A82F6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719F00A4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Anmerkung zu OLG Frankfurt, Urt. v. 25.5.2004 – 8 U 84/04</w:t>
      </w:r>
    </w:p>
    <w:p w14:paraId="7BE8755B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(Loan portfolios in capital markets law)</w:t>
      </w:r>
    </w:p>
    <w:p w14:paraId="1FEB25E9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BKR 2004, p. 330</w:t>
      </w:r>
    </w:p>
    <w:p w14:paraId="1B1A2D3E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564675F2" w14:textId="77777777" w:rsidR="005D3AD5" w:rsidRPr="0066550A" w:rsidRDefault="005D3AD5" w:rsidP="005D3AD5">
      <w:pPr>
        <w:spacing w:line="240" w:lineRule="auto"/>
        <w:rPr>
          <w:lang w:val="de-DE"/>
        </w:rPr>
      </w:pPr>
      <w:r w:rsidRPr="0066550A">
        <w:rPr>
          <w:lang w:val="de-DE"/>
        </w:rPr>
        <w:t>Zusatzkreditkarten - Haftungsrisiko ohne Ende? Zur dogmatischen Einordnung von "Partnerkarten"</w:t>
      </w:r>
    </w:p>
    <w:p w14:paraId="68279742" w14:textId="77777777" w:rsidR="005D3AD5" w:rsidRPr="004F0119" w:rsidRDefault="005D3AD5" w:rsidP="005D3AD5">
      <w:pPr>
        <w:spacing w:line="240" w:lineRule="auto"/>
      </w:pPr>
      <w:r w:rsidRPr="004F0119">
        <w:t>(Credit cards for partners – liability for fraud)</w:t>
      </w:r>
    </w:p>
    <w:p w14:paraId="51E2B0B8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NJW</w:t>
      </w:r>
      <w:r w:rsidRPr="0066550A">
        <w:rPr>
          <w:lang w:val="de-DE"/>
        </w:rPr>
        <w:t xml:space="preserve"> </w:t>
      </w:r>
      <w:r w:rsidRPr="0066550A">
        <w:rPr>
          <w:bCs/>
          <w:lang w:val="de-DE"/>
        </w:rPr>
        <w:t>2004, p. 3522</w:t>
      </w:r>
    </w:p>
    <w:p w14:paraId="00A25259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</w:p>
    <w:p w14:paraId="6E3DC917" w14:textId="77777777" w:rsidR="005D3AD5" w:rsidRPr="0066550A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Zum Bereicherungsausgleich im Überweisungsrecht</w:t>
      </w:r>
    </w:p>
    <w:p w14:paraId="5358705D" w14:textId="77777777" w:rsidR="005D3AD5" w:rsidRPr="004F0119" w:rsidRDefault="005D3AD5" w:rsidP="005D3AD5">
      <w:pPr>
        <w:keepNext/>
        <w:keepLines/>
        <w:spacing w:line="240" w:lineRule="auto"/>
        <w:rPr>
          <w:bCs/>
        </w:rPr>
      </w:pPr>
      <w:r w:rsidRPr="004F0119">
        <w:rPr>
          <w:bCs/>
        </w:rPr>
        <w:t>(The law of unjust enrichment in wire transfers)</w:t>
      </w:r>
      <w:r w:rsidRPr="004F0119">
        <w:t xml:space="preserve"> </w:t>
      </w:r>
    </w:p>
    <w:p w14:paraId="02DB92A7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 xml:space="preserve">Liber </w:t>
      </w:r>
      <w:proofErr w:type="spellStart"/>
      <w:r w:rsidRPr="0066550A">
        <w:rPr>
          <w:bCs/>
          <w:lang w:val="de-DE"/>
        </w:rPr>
        <w:t>Amicorum</w:t>
      </w:r>
      <w:proofErr w:type="spellEnd"/>
      <w:r w:rsidRPr="0066550A">
        <w:rPr>
          <w:bCs/>
          <w:lang w:val="de-DE"/>
        </w:rPr>
        <w:t xml:space="preserve"> Andreas Heldrich, </w:t>
      </w:r>
      <w:proofErr w:type="spellStart"/>
      <w:r w:rsidRPr="0066550A">
        <w:rPr>
          <w:bCs/>
          <w:lang w:val="de-DE"/>
        </w:rPr>
        <w:t>Munich</w:t>
      </w:r>
      <w:proofErr w:type="spellEnd"/>
      <w:r w:rsidRPr="0066550A">
        <w:rPr>
          <w:bCs/>
          <w:lang w:val="de-DE"/>
        </w:rPr>
        <w:t xml:space="preserve"> 2005, p. 285</w:t>
      </w:r>
    </w:p>
    <w:p w14:paraId="3C95D59A" w14:textId="77777777" w:rsidR="005D3AD5" w:rsidRPr="0066550A" w:rsidRDefault="005D3AD5" w:rsidP="005D3AD5">
      <w:pPr>
        <w:spacing w:line="240" w:lineRule="auto"/>
        <w:rPr>
          <w:bCs/>
          <w:lang w:val="de-DE"/>
        </w:rPr>
      </w:pPr>
      <w:r w:rsidRPr="0066550A">
        <w:rPr>
          <w:bCs/>
          <w:lang w:val="de-DE"/>
        </w:rPr>
        <w:t>Vereinbarungen über den Zinssatz – zugleich eine Anmerkung zu Nr. 5 und Nr. 6 der neuen Bedingungen für den gewerblichen Musterdarlehensvertrag</w:t>
      </w:r>
    </w:p>
    <w:p w14:paraId="5B3052FB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(Judicial control of agreements on interest rates)</w:t>
      </w:r>
    </w:p>
    <w:p w14:paraId="67EC5673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BKR 2005, p. 134</w:t>
      </w:r>
    </w:p>
    <w:p w14:paraId="70BD6FDD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2E79555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Kapitalerhaltung und Kapitalmarkthaftung</w:t>
      </w:r>
    </w:p>
    <w:p w14:paraId="7FCACAC8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(Capital </w:t>
      </w:r>
      <w:proofErr w:type="spellStart"/>
      <w:r w:rsidRPr="00D56C99">
        <w:rPr>
          <w:bCs/>
          <w:lang w:val="de-DE"/>
        </w:rPr>
        <w:t>preservation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and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liability</w:t>
      </w:r>
      <w:proofErr w:type="spellEnd"/>
      <w:r w:rsidRPr="00D56C99">
        <w:rPr>
          <w:bCs/>
          <w:lang w:val="de-DE"/>
        </w:rPr>
        <w:t xml:space="preserve"> in </w:t>
      </w:r>
      <w:proofErr w:type="spellStart"/>
      <w:r w:rsidRPr="00D56C99">
        <w:rPr>
          <w:bCs/>
          <w:lang w:val="de-DE"/>
        </w:rPr>
        <w:t>capital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markets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law</w:t>
      </w:r>
      <w:proofErr w:type="spellEnd"/>
      <w:r w:rsidRPr="00D56C99">
        <w:rPr>
          <w:bCs/>
          <w:lang w:val="de-DE"/>
        </w:rPr>
        <w:t>)</w:t>
      </w:r>
    </w:p>
    <w:p w14:paraId="21D24A00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ZIP 2005, p. 239</w:t>
      </w:r>
    </w:p>
    <w:p w14:paraId="1B6DB8D8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5B58FDF3" w14:textId="77777777" w:rsidR="005D3AD5" w:rsidRPr="00D56C99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Die Zulässigkeit der vertraglichen Gestaltung risikoadjustierter Konditionen in Kreditverträgen</w:t>
      </w:r>
    </w:p>
    <w:p w14:paraId="0013380F" w14:textId="77777777" w:rsidR="005D3AD5" w:rsidRPr="004F0119" w:rsidRDefault="005D3AD5" w:rsidP="005D3AD5">
      <w:pPr>
        <w:keepNext/>
        <w:keepLines/>
        <w:spacing w:line="240" w:lineRule="auto"/>
        <w:rPr>
          <w:bCs/>
        </w:rPr>
      </w:pPr>
      <w:r w:rsidRPr="004F0119">
        <w:rPr>
          <w:bCs/>
        </w:rPr>
        <w:t>(Risk-adjusted clauses on interest rates)</w:t>
      </w:r>
    </w:p>
    <w:p w14:paraId="7C5A56AF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in: Achleitner/</w:t>
      </w:r>
      <w:proofErr w:type="spellStart"/>
      <w:r w:rsidRPr="00D56C99">
        <w:rPr>
          <w:bCs/>
          <w:lang w:val="de-DE"/>
        </w:rPr>
        <w:t>Everling</w:t>
      </w:r>
      <w:proofErr w:type="spellEnd"/>
      <w:r w:rsidRPr="00D56C99">
        <w:rPr>
          <w:bCs/>
          <w:lang w:val="de-DE"/>
        </w:rPr>
        <w:t xml:space="preserve"> (Eds.), Rechtsfragen im Rating, Wiesbaden 2005, p. 185</w:t>
      </w:r>
    </w:p>
    <w:p w14:paraId="30BC8378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4B0C5880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Vorstandshandeln und Kontrolle: Zu einigen Neuerungen durch das UMAG</w:t>
      </w:r>
    </w:p>
    <w:p w14:paraId="33AC1266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(Liability of board members in stock corporations)</w:t>
      </w:r>
    </w:p>
    <w:p w14:paraId="6B4A9C1C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Sonderheft zu </w:t>
      </w:r>
      <w:proofErr w:type="spellStart"/>
      <w:r w:rsidRPr="00D56C99">
        <w:rPr>
          <w:bCs/>
          <w:lang w:val="de-DE"/>
        </w:rPr>
        <w:t>GesRZ</w:t>
      </w:r>
      <w:proofErr w:type="spellEnd"/>
      <w:r w:rsidRPr="00D56C99">
        <w:rPr>
          <w:bCs/>
          <w:lang w:val="de-DE"/>
        </w:rPr>
        <w:t xml:space="preserve"> 2005, p. 3 = DStR 2005, p. 2083</w:t>
      </w:r>
    </w:p>
    <w:p w14:paraId="2853BBD6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2F59B65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Zeit für einen Abschied von der Genehmigungstheorie bei der Lastschriftzahlung?</w:t>
      </w:r>
    </w:p>
    <w:p w14:paraId="1FB41666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(A theory of debit payments)</w:t>
      </w:r>
    </w:p>
    <w:p w14:paraId="5ACBF9C8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Liber </w:t>
      </w:r>
      <w:proofErr w:type="spellStart"/>
      <w:r w:rsidRPr="00D56C99">
        <w:rPr>
          <w:bCs/>
          <w:lang w:val="de-DE"/>
        </w:rPr>
        <w:t>Amicorum</w:t>
      </w:r>
      <w:proofErr w:type="spellEnd"/>
      <w:r w:rsidRPr="00D56C99">
        <w:rPr>
          <w:bCs/>
          <w:lang w:val="de-DE"/>
        </w:rPr>
        <w:t xml:space="preserve"> Karl Peter Mailänder, Berlin 2006, p. 21</w:t>
      </w:r>
    </w:p>
    <w:p w14:paraId="5E3A465F" w14:textId="77777777" w:rsidR="005D3AD5" w:rsidRPr="00D56C99" w:rsidRDefault="005D3AD5" w:rsidP="005D3AD5">
      <w:pPr>
        <w:spacing w:line="240" w:lineRule="auto"/>
        <w:rPr>
          <w:i/>
          <w:iCs/>
          <w:lang w:val="de-DE"/>
        </w:rPr>
      </w:pPr>
      <w:r w:rsidRPr="00D56C99">
        <w:rPr>
          <w:i/>
          <w:iCs/>
          <w:lang w:val="de-DE"/>
        </w:rPr>
        <w:t xml:space="preserve"> </w:t>
      </w:r>
    </w:p>
    <w:p w14:paraId="7CAA86BF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Die bereicherungsrechtliche Rückforderung unangemessener Vorstandsbezüge</w:t>
      </w:r>
    </w:p>
    <w:p w14:paraId="35003E3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(Board </w:t>
      </w:r>
      <w:proofErr w:type="spellStart"/>
      <w:r w:rsidRPr="00D56C99">
        <w:rPr>
          <w:bCs/>
          <w:lang w:val="de-DE"/>
        </w:rPr>
        <w:t>member’s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compensation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and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unjust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enrichment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law</w:t>
      </w:r>
      <w:proofErr w:type="spellEnd"/>
      <w:r w:rsidRPr="00D56C99">
        <w:rPr>
          <w:bCs/>
          <w:lang w:val="de-DE"/>
        </w:rPr>
        <w:t>)</w:t>
      </w:r>
    </w:p>
    <w:p w14:paraId="65602630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bCs/>
          <w:lang w:val="de-DE"/>
        </w:rPr>
        <w:t xml:space="preserve">Liber </w:t>
      </w:r>
      <w:proofErr w:type="spellStart"/>
      <w:r w:rsidRPr="00D56C99">
        <w:rPr>
          <w:bCs/>
          <w:lang w:val="de-DE"/>
        </w:rPr>
        <w:t>Amicorum</w:t>
      </w:r>
      <w:proofErr w:type="spellEnd"/>
      <w:r w:rsidRPr="00D56C99">
        <w:rPr>
          <w:bCs/>
          <w:lang w:val="de-DE"/>
        </w:rPr>
        <w:t xml:space="preserve"> Ulrich Huber, Tübingen 2006, p. 861</w:t>
      </w:r>
    </w:p>
    <w:p w14:paraId="34A5E797" w14:textId="77777777" w:rsidR="005D3AD5" w:rsidRPr="00D56C99" w:rsidRDefault="005D3AD5" w:rsidP="005D3AD5">
      <w:pPr>
        <w:spacing w:line="240" w:lineRule="auto"/>
        <w:rPr>
          <w:bCs/>
          <w:iCs/>
          <w:lang w:val="de-DE"/>
        </w:rPr>
      </w:pPr>
    </w:p>
    <w:p w14:paraId="5BB251C3" w14:textId="77777777" w:rsidR="005D3AD5" w:rsidRPr="00D56C99" w:rsidRDefault="005D3AD5" w:rsidP="005D3AD5">
      <w:pPr>
        <w:spacing w:line="240" w:lineRule="auto"/>
        <w:rPr>
          <w:bCs/>
          <w:iCs/>
          <w:lang w:val="de-DE"/>
        </w:rPr>
      </w:pPr>
      <w:r w:rsidRPr="00D56C99">
        <w:rPr>
          <w:bCs/>
          <w:iCs/>
          <w:lang w:val="de-DE"/>
        </w:rPr>
        <w:t>Wettbewerbsverbote, Unabhängigkeit und die Stellung des Aufsichtsratsmitglieds</w:t>
      </w:r>
    </w:p>
    <w:p w14:paraId="62F791BC" w14:textId="77777777" w:rsidR="005D3AD5" w:rsidRPr="004F0119" w:rsidRDefault="005D3AD5" w:rsidP="005D3AD5">
      <w:pPr>
        <w:spacing w:line="240" w:lineRule="auto"/>
        <w:rPr>
          <w:bCs/>
          <w:iCs/>
          <w:lang w:val="en-GB"/>
        </w:rPr>
      </w:pPr>
      <w:r w:rsidRPr="004F0119">
        <w:rPr>
          <w:bCs/>
          <w:iCs/>
          <w:lang w:val="en-GB"/>
        </w:rPr>
        <w:t>(Independence of board members)</w:t>
      </w:r>
    </w:p>
    <w:p w14:paraId="4E9EC8B7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bCs/>
          <w:iCs/>
          <w:lang w:val="en-GB"/>
        </w:rPr>
        <w:t xml:space="preserve">ZGR 2007, </w:t>
      </w:r>
      <w:r>
        <w:rPr>
          <w:bCs/>
          <w:iCs/>
          <w:lang w:val="en-GB"/>
        </w:rPr>
        <w:t>p. </w:t>
      </w:r>
      <w:r w:rsidRPr="004F0119">
        <w:rPr>
          <w:bCs/>
          <w:iCs/>
          <w:lang w:val="en-GB"/>
        </w:rPr>
        <w:t>571</w:t>
      </w:r>
    </w:p>
    <w:p w14:paraId="3C86F224" w14:textId="77777777" w:rsidR="005D3AD5" w:rsidRPr="004F0119" w:rsidRDefault="005D3AD5" w:rsidP="005D3AD5">
      <w:pPr>
        <w:spacing w:line="240" w:lineRule="auto"/>
        <w:rPr>
          <w:iCs/>
        </w:rPr>
      </w:pPr>
    </w:p>
    <w:p w14:paraId="20042ADE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Zinshöhe und Äquivalenzverhältnis beim gewerblichen Darlehensvertrag</w:t>
      </w:r>
    </w:p>
    <w:p w14:paraId="5AED4DAE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(On commercial credit contracts)</w:t>
      </w:r>
    </w:p>
    <w:p w14:paraId="5CC9ED8B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 xml:space="preserve">Liber </w:t>
      </w:r>
      <w:proofErr w:type="spellStart"/>
      <w:r w:rsidRPr="004F0119">
        <w:rPr>
          <w:iCs/>
        </w:rPr>
        <w:t>Amicorum</w:t>
      </w:r>
      <w:proofErr w:type="spellEnd"/>
      <w:r w:rsidRPr="004F0119">
        <w:rPr>
          <w:iCs/>
        </w:rPr>
        <w:t xml:space="preserve"> Harm Peter </w:t>
      </w:r>
      <w:proofErr w:type="spellStart"/>
      <w:r w:rsidRPr="004F0119">
        <w:rPr>
          <w:iCs/>
        </w:rPr>
        <w:t>Westermann</w:t>
      </w:r>
      <w:proofErr w:type="spellEnd"/>
      <w:r w:rsidRPr="004F0119">
        <w:rPr>
          <w:iCs/>
        </w:rPr>
        <w:t xml:space="preserve">, Cologne 2008, </w:t>
      </w:r>
      <w:r>
        <w:rPr>
          <w:iCs/>
        </w:rPr>
        <w:t>p. </w:t>
      </w:r>
      <w:r w:rsidRPr="004F0119">
        <w:rPr>
          <w:iCs/>
        </w:rPr>
        <w:t>399</w:t>
      </w:r>
    </w:p>
    <w:p w14:paraId="49AAC576" w14:textId="77777777" w:rsidR="005D3AD5" w:rsidRPr="004F0119" w:rsidRDefault="005D3AD5" w:rsidP="005D3AD5">
      <w:pPr>
        <w:spacing w:line="240" w:lineRule="auto"/>
        <w:rPr>
          <w:iCs/>
        </w:rPr>
      </w:pPr>
    </w:p>
    <w:p w14:paraId="37662326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Anmerkung zu BGH, Urt. v. 29.4.2008 – XI ZR 371/07 (LG Bonn) (</w:t>
      </w:r>
      <w:proofErr w:type="spellStart"/>
      <w:r w:rsidRPr="00D56C99">
        <w:rPr>
          <w:iCs/>
          <w:lang w:val="de-DE"/>
        </w:rPr>
        <w:t>Zuvielüberweisung</w:t>
      </w:r>
      <w:proofErr w:type="spellEnd"/>
      <w:r w:rsidRPr="00D56C99">
        <w:rPr>
          <w:iCs/>
          <w:lang w:val="de-DE"/>
        </w:rPr>
        <w:t>)</w:t>
      </w:r>
    </w:p>
    <w:p w14:paraId="645F3621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(On </w:t>
      </w:r>
      <w:proofErr w:type="spellStart"/>
      <w:r w:rsidRPr="00D56C99">
        <w:rPr>
          <w:iCs/>
          <w:lang w:val="de-DE"/>
        </w:rPr>
        <w:t>wire</w:t>
      </w:r>
      <w:proofErr w:type="spellEnd"/>
      <w:r w:rsidRPr="00D56C99">
        <w:rPr>
          <w:iCs/>
          <w:lang w:val="de-DE"/>
        </w:rPr>
        <w:t xml:space="preserve"> </w:t>
      </w:r>
      <w:proofErr w:type="spellStart"/>
      <w:r w:rsidRPr="00D56C99">
        <w:rPr>
          <w:iCs/>
          <w:lang w:val="de-DE"/>
        </w:rPr>
        <w:t>transfer</w:t>
      </w:r>
      <w:proofErr w:type="spellEnd"/>
      <w:r w:rsidRPr="00D56C99">
        <w:rPr>
          <w:iCs/>
          <w:lang w:val="de-DE"/>
        </w:rPr>
        <w:t>)</w:t>
      </w:r>
    </w:p>
    <w:p w14:paraId="33AC7B36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ZJS 2008, p. 190</w:t>
      </w:r>
    </w:p>
    <w:p w14:paraId="7AFF9DAE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3B511EF6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Kredithandel nach dem Risikobegrenzungsgesetz</w:t>
      </w:r>
    </w:p>
    <w:p w14:paraId="321D9BDC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lastRenderedPageBreak/>
        <w:t>(Non-performing loans under German law)</w:t>
      </w:r>
    </w:p>
    <w:p w14:paraId="34F10E41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NJW 2008, </w:t>
      </w:r>
      <w:r>
        <w:rPr>
          <w:bCs/>
        </w:rPr>
        <w:t>p. </w:t>
      </w:r>
      <w:r w:rsidRPr="004F0119">
        <w:rPr>
          <w:bCs/>
        </w:rPr>
        <w:t>3169</w:t>
      </w:r>
    </w:p>
    <w:p w14:paraId="1EBCAA75" w14:textId="77777777" w:rsidR="005D3AD5" w:rsidRPr="004F0119" w:rsidRDefault="005D3AD5" w:rsidP="005D3AD5">
      <w:pPr>
        <w:spacing w:line="240" w:lineRule="auto"/>
        <w:rPr>
          <w:iCs/>
          <w:lang w:val="en-GB"/>
        </w:rPr>
      </w:pPr>
    </w:p>
    <w:p w14:paraId="46E411FC" w14:textId="77777777" w:rsidR="005D3AD5" w:rsidRPr="004F0119" w:rsidRDefault="005D3AD5" w:rsidP="005D3AD5">
      <w:pPr>
        <w:spacing w:line="240" w:lineRule="auto"/>
        <w:rPr>
          <w:b/>
          <w:iCs/>
          <w:lang w:val="en-GB"/>
        </w:rPr>
      </w:pPr>
      <w:r w:rsidRPr="004F0119">
        <w:rPr>
          <w:b/>
          <w:iCs/>
          <w:lang w:val="en-GB"/>
        </w:rPr>
        <w:t>The DCFR: Agency Authority and Its Scope – A Glance at Corporation Law</w:t>
      </w:r>
    </w:p>
    <w:p w14:paraId="3692D554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ERCL 2008, p. 375</w:t>
      </w:r>
    </w:p>
    <w:p w14:paraId="3A0EB6C1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6185EFA4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Kausalitätsbeziehungen bei der Einschaltung von Finanzintermediären, Zur Haftung für fehlerhafte Kapitalmarktinformation</w:t>
      </w:r>
    </w:p>
    <w:p w14:paraId="6A474523" w14:textId="77777777" w:rsidR="005D3AD5" w:rsidRPr="004F0119" w:rsidRDefault="005D3AD5" w:rsidP="005D3AD5">
      <w:pPr>
        <w:spacing w:line="240" w:lineRule="auto"/>
        <w:rPr>
          <w:iCs/>
          <w:lang w:val="en-GB"/>
        </w:rPr>
      </w:pPr>
      <w:r w:rsidRPr="004F0119">
        <w:rPr>
          <w:iCs/>
          <w:lang w:val="en-GB"/>
        </w:rPr>
        <w:t xml:space="preserve">(Prospectus liability in capital markets law) </w:t>
      </w:r>
    </w:p>
    <w:p w14:paraId="4B343265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iCs/>
          <w:lang w:val="de-DE"/>
        </w:rPr>
        <w:t xml:space="preserve"> Karsten Schmidt, Cologne 2009, p. 1053</w:t>
      </w:r>
    </w:p>
    <w:p w14:paraId="608B3EE1" w14:textId="77777777" w:rsidR="00C17C8B" w:rsidRPr="00D56C99" w:rsidRDefault="00C17C8B" w:rsidP="005D3AD5">
      <w:pPr>
        <w:spacing w:line="240" w:lineRule="auto"/>
        <w:rPr>
          <w:iCs/>
          <w:lang w:val="de-DE"/>
        </w:rPr>
      </w:pPr>
    </w:p>
    <w:p w14:paraId="5985A351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Zur Konkretisierung des Marktmanipulationstatbestandes</w:t>
      </w:r>
    </w:p>
    <w:p w14:paraId="76D74C3D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(On </w:t>
      </w:r>
      <w:proofErr w:type="spellStart"/>
      <w:r w:rsidRPr="00D56C99">
        <w:rPr>
          <w:iCs/>
          <w:lang w:val="de-DE"/>
        </w:rPr>
        <w:t>market</w:t>
      </w:r>
      <w:proofErr w:type="spellEnd"/>
      <w:r w:rsidRPr="00D56C99">
        <w:rPr>
          <w:iCs/>
          <w:lang w:val="de-DE"/>
        </w:rPr>
        <w:t xml:space="preserve"> </w:t>
      </w:r>
      <w:proofErr w:type="spellStart"/>
      <w:r w:rsidRPr="00D56C99">
        <w:rPr>
          <w:iCs/>
          <w:lang w:val="de-DE"/>
        </w:rPr>
        <w:t>manipulation</w:t>
      </w:r>
      <w:proofErr w:type="spellEnd"/>
      <w:r w:rsidRPr="00D56C99">
        <w:rPr>
          <w:iCs/>
          <w:lang w:val="de-DE"/>
        </w:rPr>
        <w:t>)</w:t>
      </w:r>
    </w:p>
    <w:p w14:paraId="3C94BCFE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 xml:space="preserve">Liber </w:t>
      </w:r>
      <w:proofErr w:type="spellStart"/>
      <w:r w:rsidRPr="004F0119">
        <w:rPr>
          <w:iCs/>
        </w:rPr>
        <w:t>Amicorum</w:t>
      </w:r>
      <w:proofErr w:type="spellEnd"/>
      <w:r w:rsidRPr="004F0119">
        <w:rPr>
          <w:iCs/>
        </w:rPr>
        <w:t xml:space="preserve"> </w:t>
      </w:r>
      <w:proofErr w:type="spellStart"/>
      <w:r w:rsidRPr="004F0119">
        <w:rPr>
          <w:iCs/>
        </w:rPr>
        <w:t>Gerd</w:t>
      </w:r>
      <w:proofErr w:type="spellEnd"/>
      <w:r w:rsidRPr="004F0119">
        <w:rPr>
          <w:iCs/>
        </w:rPr>
        <w:t xml:space="preserve"> </w:t>
      </w:r>
      <w:proofErr w:type="spellStart"/>
      <w:r w:rsidRPr="004F0119">
        <w:rPr>
          <w:iCs/>
        </w:rPr>
        <w:t>Nobbe</w:t>
      </w:r>
      <w:proofErr w:type="spellEnd"/>
      <w:r w:rsidRPr="004F0119">
        <w:rPr>
          <w:iCs/>
        </w:rPr>
        <w:t xml:space="preserve">, Cologne 2009, </w:t>
      </w:r>
      <w:r>
        <w:rPr>
          <w:iCs/>
        </w:rPr>
        <w:t>p. </w:t>
      </w:r>
      <w:r w:rsidRPr="004F0119">
        <w:rPr>
          <w:iCs/>
        </w:rPr>
        <w:t>681</w:t>
      </w:r>
    </w:p>
    <w:p w14:paraId="3123276E" w14:textId="77777777" w:rsidR="005D3AD5" w:rsidRPr="004F0119" w:rsidRDefault="005D3AD5" w:rsidP="005D3AD5">
      <w:pPr>
        <w:spacing w:line="240" w:lineRule="auto"/>
        <w:rPr>
          <w:iCs/>
        </w:rPr>
      </w:pPr>
    </w:p>
    <w:p w14:paraId="2CAC618E" w14:textId="77777777" w:rsidR="005D3AD5" w:rsidRPr="004F0119" w:rsidRDefault="005D3AD5" w:rsidP="005D3AD5">
      <w:pPr>
        <w:spacing w:line="240" w:lineRule="auto"/>
        <w:rPr>
          <w:iCs/>
        </w:rPr>
      </w:pPr>
      <w:proofErr w:type="spellStart"/>
      <w:r w:rsidRPr="004F0119">
        <w:rPr>
          <w:iCs/>
        </w:rPr>
        <w:t>Bankaktienrecht</w:t>
      </w:r>
      <w:proofErr w:type="spellEnd"/>
      <w:r w:rsidRPr="004F0119">
        <w:rPr>
          <w:iCs/>
        </w:rPr>
        <w:t xml:space="preserve"> </w:t>
      </w:r>
      <w:proofErr w:type="spellStart"/>
      <w:r w:rsidRPr="004F0119">
        <w:rPr>
          <w:iCs/>
        </w:rPr>
        <w:t>unter</w:t>
      </w:r>
      <w:proofErr w:type="spellEnd"/>
      <w:r w:rsidRPr="004F0119">
        <w:rPr>
          <w:iCs/>
        </w:rPr>
        <w:t xml:space="preserve"> </w:t>
      </w:r>
      <w:proofErr w:type="spellStart"/>
      <w:r w:rsidRPr="004F0119">
        <w:rPr>
          <w:iCs/>
        </w:rPr>
        <w:t>Unsicherheit</w:t>
      </w:r>
      <w:proofErr w:type="spellEnd"/>
    </w:p>
    <w:p w14:paraId="6C276012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(Corporate law of banks under conditions of uncertainty)</w:t>
      </w:r>
    </w:p>
    <w:p w14:paraId="3D9D8A6D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ZGR 2010, p. 75</w:t>
      </w:r>
    </w:p>
    <w:p w14:paraId="5FD4430D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6D1D2030" w14:textId="77777777" w:rsidR="005D3AD5" w:rsidRPr="00D56C99" w:rsidRDefault="005D3AD5" w:rsidP="005D3AD5">
      <w:pPr>
        <w:keepNext/>
        <w:keepLines/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Die Nutzung von Insiderinformationen nach der Marktmissbrauchsrichtlinie (</w:t>
      </w:r>
      <w:proofErr w:type="spellStart"/>
      <w:r w:rsidRPr="00D56C99">
        <w:rPr>
          <w:iCs/>
          <w:lang w:val="de-DE"/>
        </w:rPr>
        <w:t>with</w:t>
      </w:r>
      <w:proofErr w:type="spellEnd"/>
      <w:r w:rsidRPr="00D56C99">
        <w:rPr>
          <w:iCs/>
          <w:lang w:val="de-DE"/>
        </w:rPr>
        <w:t xml:space="preserve"> </w:t>
      </w:r>
      <w:r w:rsidRPr="00D56C99">
        <w:rPr>
          <w:i/>
          <w:iCs/>
          <w:lang w:val="de-DE"/>
        </w:rPr>
        <w:t>S. Brenner</w:t>
      </w:r>
      <w:r w:rsidRPr="00D56C99">
        <w:rPr>
          <w:iCs/>
          <w:lang w:val="de-DE"/>
        </w:rPr>
        <w:t xml:space="preserve"> </w:t>
      </w:r>
      <w:proofErr w:type="spellStart"/>
      <w:r w:rsidRPr="00D56C99">
        <w:rPr>
          <w:iCs/>
          <w:lang w:val="de-DE"/>
        </w:rPr>
        <w:t>and</w:t>
      </w:r>
      <w:proofErr w:type="spellEnd"/>
      <w:r w:rsidRPr="00D56C99">
        <w:rPr>
          <w:iCs/>
          <w:lang w:val="de-DE"/>
        </w:rPr>
        <w:t xml:space="preserve"> </w:t>
      </w:r>
      <w:r w:rsidRPr="00D56C99">
        <w:rPr>
          <w:i/>
          <w:iCs/>
          <w:lang w:val="de-DE"/>
        </w:rPr>
        <w:t xml:space="preserve">M. </w:t>
      </w:r>
      <w:proofErr w:type="spellStart"/>
      <w:r w:rsidRPr="00D56C99">
        <w:rPr>
          <w:i/>
          <w:iCs/>
          <w:lang w:val="de-DE"/>
        </w:rPr>
        <w:t>Gellings</w:t>
      </w:r>
      <w:proofErr w:type="spellEnd"/>
      <w:r w:rsidRPr="00D56C99">
        <w:rPr>
          <w:iCs/>
          <w:lang w:val="de-DE"/>
        </w:rPr>
        <w:t>)</w:t>
      </w:r>
    </w:p>
    <w:p w14:paraId="1168C2CF" w14:textId="77777777" w:rsidR="005D3AD5" w:rsidRPr="004F0119" w:rsidRDefault="005D3AD5" w:rsidP="005D3AD5">
      <w:pPr>
        <w:keepNext/>
        <w:keepLines/>
        <w:spacing w:line="240" w:lineRule="auto"/>
        <w:rPr>
          <w:iCs/>
        </w:rPr>
      </w:pPr>
      <w:r w:rsidRPr="004F0119">
        <w:rPr>
          <w:iCs/>
        </w:rPr>
        <w:t xml:space="preserve">(On the </w:t>
      </w:r>
      <w:r>
        <w:rPr>
          <w:iCs/>
        </w:rPr>
        <w:t>“</w:t>
      </w:r>
      <w:proofErr w:type="gramStart"/>
      <w:r w:rsidRPr="004F0119">
        <w:rPr>
          <w:iCs/>
        </w:rPr>
        <w:t>use“ of</w:t>
      </w:r>
      <w:proofErr w:type="gramEnd"/>
      <w:r w:rsidRPr="004F0119">
        <w:rPr>
          <w:iCs/>
        </w:rPr>
        <w:t xml:space="preserve"> inside information under the market manipulation directive)</w:t>
      </w:r>
    </w:p>
    <w:p w14:paraId="7B062BEE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BKR 2010, p. 133</w:t>
      </w:r>
    </w:p>
    <w:p w14:paraId="36D03429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6C6DD58B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Zur Auflösung von Systemspannungen zwischen Bankaufsichtsrecht und Privatrecht</w:t>
      </w:r>
    </w:p>
    <w:p w14:paraId="4CA62EBB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(On the impact of regulatory banking law on private banking law)</w:t>
      </w:r>
    </w:p>
    <w:p w14:paraId="1E5B91E1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iCs/>
          <w:lang w:val="de-DE"/>
        </w:rPr>
        <w:t xml:space="preserve"> Klaus J. Hopt, Berlin 2010, p. 2175</w:t>
      </w:r>
    </w:p>
    <w:p w14:paraId="39F82554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7FBCD104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Verbraucherschutz durch Leistungstransparenz in der Anlageberatung (</w:t>
      </w:r>
      <w:proofErr w:type="spellStart"/>
      <w:r w:rsidRPr="00D56C99">
        <w:rPr>
          <w:bCs/>
          <w:lang w:val="de-DE"/>
        </w:rPr>
        <w:t>with</w:t>
      </w:r>
      <w:proofErr w:type="spellEnd"/>
      <w:r w:rsidRPr="00D56C99">
        <w:rPr>
          <w:bCs/>
          <w:lang w:val="de-DE"/>
        </w:rPr>
        <w:t xml:space="preserve"> </w:t>
      </w:r>
      <w:r w:rsidRPr="00D56C99">
        <w:rPr>
          <w:bCs/>
          <w:i/>
          <w:lang w:val="de-DE"/>
        </w:rPr>
        <w:t>A. Hackethal</w:t>
      </w:r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and</w:t>
      </w:r>
      <w:proofErr w:type="spellEnd"/>
      <w:r w:rsidRPr="00D56C99">
        <w:rPr>
          <w:bCs/>
          <w:lang w:val="de-DE"/>
        </w:rPr>
        <w:t xml:space="preserve"> </w:t>
      </w:r>
      <w:r w:rsidRPr="00D56C99">
        <w:rPr>
          <w:bCs/>
          <w:i/>
          <w:lang w:val="de-DE"/>
        </w:rPr>
        <w:t>S. Meyer</w:t>
      </w:r>
      <w:r w:rsidRPr="00D56C99">
        <w:rPr>
          <w:bCs/>
          <w:lang w:val="de-DE"/>
        </w:rPr>
        <w:t>)</w:t>
      </w:r>
    </w:p>
    <w:p w14:paraId="09AB8DED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(</w:t>
      </w:r>
      <w:proofErr w:type="spellStart"/>
      <w:r w:rsidRPr="00D56C99">
        <w:rPr>
          <w:bCs/>
          <w:lang w:val="de-DE"/>
        </w:rPr>
        <w:t>Transparency</w:t>
      </w:r>
      <w:proofErr w:type="spellEnd"/>
      <w:r w:rsidRPr="00D56C99">
        <w:rPr>
          <w:bCs/>
          <w:lang w:val="de-DE"/>
        </w:rPr>
        <w:t xml:space="preserve"> in </w:t>
      </w:r>
      <w:proofErr w:type="spellStart"/>
      <w:r w:rsidRPr="00D56C99">
        <w:rPr>
          <w:bCs/>
          <w:lang w:val="de-DE"/>
        </w:rPr>
        <w:t>retail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finance</w:t>
      </w:r>
      <w:proofErr w:type="spellEnd"/>
      <w:r w:rsidRPr="00D56C99">
        <w:rPr>
          <w:bCs/>
          <w:lang w:val="de-DE"/>
        </w:rPr>
        <w:t>)</w:t>
      </w:r>
    </w:p>
    <w:p w14:paraId="15708029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bCs/>
          <w:lang w:val="de-DE"/>
        </w:rPr>
        <w:t xml:space="preserve">Sonderheft 61/10 </w:t>
      </w:r>
      <w:proofErr w:type="spellStart"/>
      <w:r w:rsidRPr="00D56C99">
        <w:rPr>
          <w:bCs/>
          <w:lang w:val="de-DE"/>
        </w:rPr>
        <w:t>zfbf</w:t>
      </w:r>
      <w:proofErr w:type="spellEnd"/>
      <w:r w:rsidRPr="00D56C99">
        <w:rPr>
          <w:bCs/>
          <w:lang w:val="de-DE"/>
        </w:rPr>
        <w:t xml:space="preserve"> (</w:t>
      </w:r>
      <w:proofErr w:type="spellStart"/>
      <w:r w:rsidRPr="00D56C99">
        <w:rPr>
          <w:bCs/>
          <w:lang w:val="de-DE"/>
        </w:rPr>
        <w:t>Schmalenbachs</w:t>
      </w:r>
      <w:proofErr w:type="spellEnd"/>
      <w:r w:rsidRPr="00D56C99">
        <w:rPr>
          <w:bCs/>
          <w:lang w:val="de-DE"/>
        </w:rPr>
        <w:t xml:space="preserve"> Zeitschrift für betriebswirtschaftliche Forschung), „Herausforderungen der Finanzkrise für das Bankcontrolling“, p. 108</w:t>
      </w:r>
    </w:p>
    <w:p w14:paraId="17F16E2D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241C808D" w14:textId="77777777" w:rsidR="005D3AD5" w:rsidRPr="004F0119" w:rsidRDefault="005D3AD5" w:rsidP="005D3AD5">
      <w:pPr>
        <w:spacing w:line="240" w:lineRule="auto"/>
        <w:rPr>
          <w:b/>
          <w:iCs/>
        </w:rPr>
      </w:pPr>
      <w:r w:rsidRPr="004F0119">
        <w:rPr>
          <w:b/>
          <w:iCs/>
        </w:rPr>
        <w:t xml:space="preserve">The </w:t>
      </w:r>
      <w:r>
        <w:rPr>
          <w:b/>
          <w:iCs/>
        </w:rPr>
        <w:t>“</w:t>
      </w:r>
      <w:r w:rsidRPr="004F0119">
        <w:rPr>
          <w:b/>
          <w:iCs/>
        </w:rPr>
        <w:t xml:space="preserve">use or </w:t>
      </w:r>
      <w:proofErr w:type="gramStart"/>
      <w:r w:rsidRPr="004F0119">
        <w:rPr>
          <w:b/>
          <w:iCs/>
        </w:rPr>
        <w:t>possession“</w:t>
      </w:r>
      <w:proofErr w:type="gramEnd"/>
      <w:r w:rsidRPr="004F0119">
        <w:rPr>
          <w:b/>
          <w:iCs/>
        </w:rPr>
        <w:t>-debate revisited – Spector Photo Group and insider trading in Europe</w:t>
      </w:r>
    </w:p>
    <w:p w14:paraId="747C70A5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 xml:space="preserve">Capital Markets Law Journal 2010, </w:t>
      </w:r>
      <w:r>
        <w:rPr>
          <w:iCs/>
        </w:rPr>
        <w:t>p. </w:t>
      </w:r>
      <w:r w:rsidRPr="004F0119">
        <w:rPr>
          <w:iCs/>
        </w:rPr>
        <w:t>452</w:t>
      </w:r>
    </w:p>
    <w:p w14:paraId="64FA5875" w14:textId="77777777" w:rsidR="005D3AD5" w:rsidRPr="004F0119" w:rsidRDefault="005D3AD5" w:rsidP="005D3AD5">
      <w:pPr>
        <w:spacing w:line="240" w:lineRule="auto"/>
        <w:rPr>
          <w:iCs/>
        </w:rPr>
      </w:pPr>
    </w:p>
    <w:p w14:paraId="73207DB5" w14:textId="77777777" w:rsidR="005D3AD5" w:rsidRPr="004F0119" w:rsidRDefault="005D3AD5" w:rsidP="005D3AD5">
      <w:pPr>
        <w:spacing w:line="240" w:lineRule="auto"/>
        <w:rPr>
          <w:iCs/>
        </w:rPr>
      </w:pPr>
      <w:r w:rsidRPr="00D56C99">
        <w:rPr>
          <w:iCs/>
          <w:lang w:val="de-DE"/>
        </w:rPr>
        <w:t xml:space="preserve">Die Institutsvergütungsverordnung: Ist Verantwortung für Misserfolge im Finanzsektor möglich? </w:t>
      </w:r>
      <w:r w:rsidRPr="004F0119">
        <w:rPr>
          <w:iCs/>
        </w:rPr>
        <w:t xml:space="preserve">(with </w:t>
      </w:r>
      <w:r w:rsidRPr="004F0119">
        <w:rPr>
          <w:i/>
          <w:iCs/>
        </w:rPr>
        <w:t xml:space="preserve">G. </w:t>
      </w:r>
      <w:proofErr w:type="spellStart"/>
      <w:r w:rsidRPr="004F0119">
        <w:rPr>
          <w:i/>
          <w:iCs/>
        </w:rPr>
        <w:t>Friebel</w:t>
      </w:r>
      <w:proofErr w:type="spellEnd"/>
      <w:r w:rsidRPr="004F0119">
        <w:rPr>
          <w:iCs/>
        </w:rPr>
        <w:t>)</w:t>
      </w:r>
    </w:p>
    <w:p w14:paraId="40837699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(On executive remuneration in banks: How to make executives accountable for failures)</w:t>
      </w:r>
    </w:p>
    <w:p w14:paraId="0E69B084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GWR 2011, p. 103</w:t>
      </w:r>
    </w:p>
    <w:p w14:paraId="07A55EC5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6E31627D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Zur rechten Konkretisierung angemessener Vorstandsbezüge</w:t>
      </w:r>
    </w:p>
    <w:p w14:paraId="779C34B7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(On executive remuneration in general)</w:t>
      </w:r>
    </w:p>
    <w:p w14:paraId="3E9F527B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iCs/>
          <w:lang w:val="de-DE"/>
        </w:rPr>
        <w:t xml:space="preserve"> Uwe H. Schneider, Cologne 2011, p. 751</w:t>
      </w:r>
    </w:p>
    <w:p w14:paraId="012C1839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13A9E687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Frauenquote und Gesellschaftsrecht</w:t>
      </w:r>
    </w:p>
    <w:p w14:paraId="77FD75C6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(On </w:t>
      </w:r>
      <w:proofErr w:type="spellStart"/>
      <w:r w:rsidRPr="00D56C99">
        <w:rPr>
          <w:iCs/>
          <w:lang w:val="de-DE"/>
        </w:rPr>
        <w:t>gender</w:t>
      </w:r>
      <w:proofErr w:type="spellEnd"/>
      <w:r w:rsidRPr="00D56C99">
        <w:rPr>
          <w:iCs/>
          <w:lang w:val="de-DE"/>
        </w:rPr>
        <w:t xml:space="preserve"> </w:t>
      </w:r>
      <w:proofErr w:type="spellStart"/>
      <w:r w:rsidRPr="00D56C99">
        <w:rPr>
          <w:iCs/>
          <w:lang w:val="de-DE"/>
        </w:rPr>
        <w:t>diversity</w:t>
      </w:r>
      <w:proofErr w:type="spellEnd"/>
      <w:r w:rsidRPr="00D56C99">
        <w:rPr>
          <w:iCs/>
          <w:lang w:val="de-DE"/>
        </w:rPr>
        <w:t xml:space="preserve"> in </w:t>
      </w:r>
      <w:proofErr w:type="spellStart"/>
      <w:r w:rsidRPr="00D56C99">
        <w:rPr>
          <w:iCs/>
          <w:lang w:val="de-DE"/>
        </w:rPr>
        <w:t>corporate</w:t>
      </w:r>
      <w:proofErr w:type="spellEnd"/>
      <w:r w:rsidRPr="00D56C99">
        <w:rPr>
          <w:iCs/>
          <w:lang w:val="de-DE"/>
        </w:rPr>
        <w:t xml:space="preserve"> </w:t>
      </w:r>
      <w:proofErr w:type="spellStart"/>
      <w:r w:rsidRPr="00D56C99">
        <w:rPr>
          <w:iCs/>
          <w:lang w:val="de-DE"/>
        </w:rPr>
        <w:t>boards</w:t>
      </w:r>
      <w:proofErr w:type="spellEnd"/>
      <w:r w:rsidRPr="00D56C99">
        <w:rPr>
          <w:iCs/>
          <w:lang w:val="de-DE"/>
        </w:rPr>
        <w:t>)</w:t>
      </w:r>
    </w:p>
    <w:p w14:paraId="519C2321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JZ 2011, p. 1038</w:t>
      </w:r>
    </w:p>
    <w:p w14:paraId="6DFC8453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0B6D4E1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lastRenderedPageBreak/>
        <w:t>Der „verständige Anleger“ vor dem EuGH</w:t>
      </w:r>
    </w:p>
    <w:p w14:paraId="7B5A0F49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(The reasonable investor and the ECJ)</w:t>
      </w:r>
    </w:p>
    <w:p w14:paraId="49096D8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BKR 2012, p. 145</w:t>
      </w:r>
    </w:p>
    <w:p w14:paraId="09BC1117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0EE85D8D" w14:textId="77777777" w:rsidR="005D3AD5" w:rsidRPr="00D56C99" w:rsidRDefault="005D3AD5" w:rsidP="005D3AD5">
      <w:pPr>
        <w:keepNext/>
        <w:keepLines/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Zentrale Akteure der Corporate Governance: Zusammensetzung des Aufsichtsrats</w:t>
      </w:r>
    </w:p>
    <w:p w14:paraId="03599490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 xml:space="preserve">(The composition of corporate boards) </w:t>
      </w:r>
    </w:p>
    <w:p w14:paraId="1EA4FD7B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ZGR 2012, p. 341</w:t>
      </w:r>
    </w:p>
    <w:p w14:paraId="3A9D0EC2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364BEF5C" w14:textId="77777777" w:rsidR="005D3AD5" w:rsidRPr="00D56C99" w:rsidRDefault="005D3AD5" w:rsidP="005D3AD5">
      <w:pPr>
        <w:keepNext/>
        <w:keepLines/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Bausteine eines Bankgesellschaftsrechts: Zur Stellung des Aufsichtsrats in Finanzinstituten</w:t>
      </w:r>
    </w:p>
    <w:p w14:paraId="1A2A6FD2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(CRD IV and Corporate Governance of Banks – A New Discipline in the Making)</w:t>
      </w:r>
    </w:p>
    <w:p w14:paraId="69108522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ZHR 176 (2012), p. 652</w:t>
      </w:r>
    </w:p>
    <w:p w14:paraId="39D04BE2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Vorstandshaftung und Legalitätspflicht in regulierten Branchen</w:t>
      </w:r>
    </w:p>
    <w:p w14:paraId="06FBF17A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>(Efficient breach of the law and CEO’s duties)</w:t>
      </w:r>
    </w:p>
    <w:p w14:paraId="0A6B76AB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ZBB 2013, p. 16</w:t>
      </w:r>
    </w:p>
    <w:p w14:paraId="57B42B14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35E57782" w14:textId="77777777" w:rsidR="005D3AD5" w:rsidRPr="00D56C99" w:rsidRDefault="005D3AD5" w:rsidP="005D3AD5">
      <w:pPr>
        <w:keepNext/>
        <w:keepLines/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Stimmrechtsberater</w:t>
      </w:r>
    </w:p>
    <w:p w14:paraId="3F267684" w14:textId="77777777" w:rsidR="005D3AD5" w:rsidRPr="00D56C99" w:rsidRDefault="005D3AD5" w:rsidP="005D3AD5">
      <w:pPr>
        <w:keepNext/>
        <w:keepLines/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 xml:space="preserve">(Proxy </w:t>
      </w:r>
      <w:proofErr w:type="spellStart"/>
      <w:r w:rsidRPr="00D56C99">
        <w:rPr>
          <w:iCs/>
          <w:lang w:val="de-DE"/>
        </w:rPr>
        <w:t>adivisors</w:t>
      </w:r>
      <w:proofErr w:type="spellEnd"/>
      <w:r w:rsidRPr="00D56C99">
        <w:rPr>
          <w:iCs/>
          <w:lang w:val="de-DE"/>
        </w:rPr>
        <w:t>)</w:t>
      </w:r>
    </w:p>
    <w:p w14:paraId="419D79F3" w14:textId="77777777" w:rsidR="005D3AD5" w:rsidRPr="00D56C99" w:rsidRDefault="005D3AD5" w:rsidP="005D3AD5">
      <w:pPr>
        <w:spacing w:line="240" w:lineRule="auto"/>
        <w:rPr>
          <w:bCs/>
          <w:i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iCs/>
          <w:lang w:val="de-DE"/>
        </w:rPr>
        <w:t xml:space="preserve"> Michael Hoffmann-Becking, </w:t>
      </w:r>
      <w:proofErr w:type="spellStart"/>
      <w:r w:rsidRPr="00D56C99">
        <w:rPr>
          <w:bCs/>
          <w:iCs/>
          <w:lang w:val="de-DE"/>
        </w:rPr>
        <w:t>Munich</w:t>
      </w:r>
      <w:proofErr w:type="spellEnd"/>
      <w:r w:rsidRPr="00D56C99">
        <w:rPr>
          <w:bCs/>
          <w:iCs/>
          <w:lang w:val="de-DE"/>
        </w:rPr>
        <w:t xml:space="preserve"> 2013, p. 733</w:t>
      </w:r>
    </w:p>
    <w:p w14:paraId="515C2A81" w14:textId="77777777" w:rsidR="005D3AD5" w:rsidRPr="00D56C99" w:rsidRDefault="005D3AD5" w:rsidP="005D3AD5">
      <w:pPr>
        <w:spacing w:line="240" w:lineRule="auto"/>
        <w:rPr>
          <w:bCs/>
          <w:iCs/>
          <w:lang w:val="de-DE"/>
        </w:rPr>
      </w:pPr>
    </w:p>
    <w:p w14:paraId="57D77ECA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Aufsichtsratsmitglieder in Kreditinstituten: Rechte, Pflichten und Haftungsregeln</w:t>
      </w:r>
    </w:p>
    <w:p w14:paraId="0127E2C1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t xml:space="preserve">(Liability of board members of financial </w:t>
      </w:r>
      <w:proofErr w:type="spellStart"/>
      <w:r w:rsidRPr="004F0119">
        <w:rPr>
          <w:iCs/>
        </w:rPr>
        <w:t>instititutions</w:t>
      </w:r>
      <w:proofErr w:type="spellEnd"/>
      <w:r w:rsidRPr="004F0119">
        <w:rPr>
          <w:iCs/>
        </w:rPr>
        <w:t>)</w:t>
      </w:r>
    </w:p>
    <w:p w14:paraId="7232B1A5" w14:textId="77777777" w:rsidR="005D3AD5" w:rsidRPr="00F16DBF" w:rsidRDefault="005D3AD5" w:rsidP="005D3AD5">
      <w:pPr>
        <w:spacing w:line="240" w:lineRule="auto"/>
        <w:rPr>
          <w:bCs/>
        </w:rPr>
      </w:pPr>
      <w:r w:rsidRPr="00F16DBF">
        <w:rPr>
          <w:bCs/>
        </w:rPr>
        <w:t xml:space="preserve">in: </w:t>
      </w:r>
      <w:proofErr w:type="spellStart"/>
      <w:r w:rsidRPr="00F16DBF">
        <w:rPr>
          <w:bCs/>
        </w:rPr>
        <w:t>Hölscher</w:t>
      </w:r>
      <w:proofErr w:type="spellEnd"/>
      <w:r w:rsidRPr="00F16DBF">
        <w:rPr>
          <w:bCs/>
        </w:rPr>
        <w:t>/</w:t>
      </w:r>
      <w:proofErr w:type="spellStart"/>
      <w:r w:rsidRPr="00F16DBF">
        <w:rPr>
          <w:bCs/>
        </w:rPr>
        <w:t>Altenhain</w:t>
      </w:r>
      <w:proofErr w:type="spellEnd"/>
      <w:r w:rsidRPr="00F16DBF">
        <w:rPr>
          <w:bCs/>
        </w:rPr>
        <w:t xml:space="preserve"> (Eds.), </w:t>
      </w:r>
      <w:proofErr w:type="spellStart"/>
      <w:r w:rsidRPr="00F16DBF">
        <w:rPr>
          <w:bCs/>
        </w:rPr>
        <w:t>Handbuch</w:t>
      </w:r>
      <w:proofErr w:type="spellEnd"/>
      <w:r w:rsidRPr="00F16DBF">
        <w:rPr>
          <w:bCs/>
        </w:rPr>
        <w:t xml:space="preserve"> </w:t>
      </w:r>
      <w:proofErr w:type="spellStart"/>
      <w:r w:rsidRPr="00F16DBF">
        <w:rPr>
          <w:bCs/>
        </w:rPr>
        <w:t>Aufsichts</w:t>
      </w:r>
      <w:proofErr w:type="spellEnd"/>
      <w:r w:rsidRPr="00F16DBF">
        <w:rPr>
          <w:bCs/>
        </w:rPr>
        <w:t xml:space="preserve">- und </w:t>
      </w:r>
      <w:proofErr w:type="spellStart"/>
      <w:r w:rsidRPr="00F16DBF">
        <w:rPr>
          <w:bCs/>
        </w:rPr>
        <w:t>Verwaltungsräte</w:t>
      </w:r>
      <w:proofErr w:type="spellEnd"/>
      <w:r w:rsidRPr="00F16DBF">
        <w:rPr>
          <w:bCs/>
        </w:rPr>
        <w:t xml:space="preserve"> in </w:t>
      </w:r>
      <w:proofErr w:type="spellStart"/>
      <w:r w:rsidRPr="00F16DBF">
        <w:rPr>
          <w:bCs/>
        </w:rPr>
        <w:t>Kreditinstituten</w:t>
      </w:r>
      <w:proofErr w:type="spellEnd"/>
      <w:r w:rsidRPr="00F16DBF">
        <w:rPr>
          <w:bCs/>
        </w:rPr>
        <w:t xml:space="preserve"> (Handbook on supervisory boards in financial institutions), Berlin 2013, p. 3</w:t>
      </w:r>
    </w:p>
    <w:p w14:paraId="1DD5F53D" w14:textId="77777777" w:rsidR="005D3AD5" w:rsidRPr="00F16DBF" w:rsidRDefault="005D3AD5" w:rsidP="005D3AD5">
      <w:pPr>
        <w:spacing w:line="240" w:lineRule="auto"/>
        <w:rPr>
          <w:bCs/>
        </w:rPr>
      </w:pPr>
    </w:p>
    <w:p w14:paraId="342DF290" w14:textId="77777777" w:rsidR="005D3AD5" w:rsidRPr="004F0119" w:rsidRDefault="005D3AD5" w:rsidP="005D3AD5">
      <w:pPr>
        <w:spacing w:line="240" w:lineRule="auto"/>
        <w:rPr>
          <w:b/>
          <w:iCs/>
        </w:rPr>
      </w:pPr>
      <w:r w:rsidRPr="0021012D">
        <w:rPr>
          <w:b/>
          <w:iCs/>
        </w:rPr>
        <w:t>I</w:t>
      </w:r>
      <w:r w:rsidRPr="004F0119">
        <w:rPr>
          <w:b/>
          <w:iCs/>
        </w:rPr>
        <w:t>nsider Trading in European Law</w:t>
      </w:r>
    </w:p>
    <w:p w14:paraId="61BF4A23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iCs/>
        </w:rPr>
        <w:t xml:space="preserve">in: Bainbridge (Ed.), </w:t>
      </w:r>
      <w:r w:rsidRPr="004F0119">
        <w:rPr>
          <w:bCs/>
        </w:rPr>
        <w:t xml:space="preserve">Research Handbook on Insider Trading, 2013, </w:t>
      </w:r>
      <w:r>
        <w:rPr>
          <w:bCs/>
        </w:rPr>
        <w:t>p. </w:t>
      </w:r>
      <w:r w:rsidRPr="004F0119">
        <w:rPr>
          <w:bCs/>
        </w:rPr>
        <w:t>429</w:t>
      </w:r>
    </w:p>
    <w:p w14:paraId="028C1A07" w14:textId="77777777" w:rsidR="005D3AD5" w:rsidRPr="004F0119" w:rsidRDefault="005D3AD5" w:rsidP="005D3AD5">
      <w:pPr>
        <w:spacing w:line="240" w:lineRule="auto"/>
        <w:rPr>
          <w:bCs/>
        </w:rPr>
      </w:pPr>
    </w:p>
    <w:p w14:paraId="53CF34F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Anlegerschutz - Ein Bericht zu theoretischen Prämissen und legislativen Instrumenten</w:t>
      </w:r>
    </w:p>
    <w:p w14:paraId="4F2ED672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(Investor Protection - A report on theoretical premises and legislative instruments)</w:t>
      </w:r>
    </w:p>
    <w:p w14:paraId="52E5BC8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ZHR 177 (2013), p. 679</w:t>
      </w:r>
    </w:p>
    <w:p w14:paraId="527ECDE7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65ADF39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Zum Begriff der Insiderinformation nach dem Entwurf für eine Marktmissbrauchsverordnung</w:t>
      </w:r>
    </w:p>
    <w:p w14:paraId="5D674F3C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(How to interpret “Inside information” according to the proposal for the Regulation on Market Abuse)</w:t>
      </w:r>
    </w:p>
    <w:p w14:paraId="5F57870A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NZG 2013, </w:t>
      </w:r>
      <w:r>
        <w:rPr>
          <w:bCs/>
        </w:rPr>
        <w:t>p. </w:t>
      </w:r>
      <w:r w:rsidRPr="004F0119">
        <w:rPr>
          <w:bCs/>
        </w:rPr>
        <w:t>1401</w:t>
      </w:r>
    </w:p>
    <w:p w14:paraId="3BE46718" w14:textId="77777777" w:rsidR="005D3AD5" w:rsidRPr="004F0119" w:rsidRDefault="005D3AD5" w:rsidP="005D3AD5">
      <w:pPr>
        <w:spacing w:line="240" w:lineRule="auto"/>
        <w:rPr>
          <w:bCs/>
        </w:rPr>
      </w:pPr>
    </w:p>
    <w:p w14:paraId="4453E31A" w14:textId="77777777" w:rsidR="005D3AD5" w:rsidRPr="004F0119" w:rsidRDefault="005D3AD5" w:rsidP="005D3AD5">
      <w:pPr>
        <w:spacing w:line="240" w:lineRule="auto"/>
        <w:rPr>
          <w:b/>
          <w:bCs/>
        </w:rPr>
      </w:pPr>
      <w:r w:rsidRPr="004F0119">
        <w:rPr>
          <w:b/>
          <w:bCs/>
        </w:rPr>
        <w:t>Insider Trading, An exercise in (economic and legal) transplants</w:t>
      </w:r>
    </w:p>
    <w:p w14:paraId="613C3F0D" w14:textId="77777777" w:rsidR="005D3AD5" w:rsidRPr="004F0119" w:rsidRDefault="005D3AD5" w:rsidP="005D3AD5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 xml:space="preserve">Revue Trimestrielle de Droit Financier No 4 2013/ No 1 2014, </w:t>
      </w:r>
      <w:r>
        <w:rPr>
          <w:bCs/>
          <w:lang w:val="fr-FR"/>
        </w:rPr>
        <w:t>p. </w:t>
      </w:r>
      <w:r w:rsidRPr="004F0119">
        <w:rPr>
          <w:bCs/>
          <w:lang w:val="fr-FR"/>
        </w:rPr>
        <w:t>35</w:t>
      </w:r>
    </w:p>
    <w:p w14:paraId="5F4BB10F" w14:textId="77777777" w:rsidR="005D3AD5" w:rsidRPr="004F0119" w:rsidRDefault="005D3AD5" w:rsidP="005D3AD5">
      <w:pPr>
        <w:spacing w:line="240" w:lineRule="auto"/>
        <w:rPr>
          <w:bCs/>
          <w:lang w:val="fr-FR"/>
        </w:rPr>
      </w:pPr>
    </w:p>
    <w:p w14:paraId="75D47665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Vorstandsvergütung – zwischen Vertragsrecht und „</w:t>
      </w:r>
      <w:proofErr w:type="spellStart"/>
      <w:r w:rsidRPr="00D56C99">
        <w:rPr>
          <w:bCs/>
          <w:lang w:val="de-DE"/>
        </w:rPr>
        <w:t>say</w:t>
      </w:r>
      <w:proofErr w:type="spellEnd"/>
      <w:r w:rsidRPr="00D56C99">
        <w:rPr>
          <w:bCs/>
          <w:lang w:val="de-DE"/>
        </w:rPr>
        <w:t xml:space="preserve"> on </w:t>
      </w:r>
      <w:proofErr w:type="spellStart"/>
      <w:r w:rsidRPr="00D56C99">
        <w:rPr>
          <w:bCs/>
          <w:lang w:val="de-DE"/>
        </w:rPr>
        <w:t>pay</w:t>
      </w:r>
      <w:proofErr w:type="spellEnd"/>
      <w:r w:rsidRPr="00D56C99">
        <w:rPr>
          <w:bCs/>
          <w:lang w:val="de-DE"/>
        </w:rPr>
        <w:t>“</w:t>
      </w:r>
    </w:p>
    <w:p w14:paraId="72CEFABF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(Board Remuneration – between contract law and „say on </w:t>
      </w:r>
      <w:proofErr w:type="gramStart"/>
      <w:r w:rsidRPr="004F0119">
        <w:rPr>
          <w:bCs/>
        </w:rPr>
        <w:t>pay“</w:t>
      </w:r>
      <w:proofErr w:type="gramEnd"/>
      <w:r w:rsidRPr="004F0119">
        <w:rPr>
          <w:bCs/>
        </w:rPr>
        <w:t>)</w:t>
      </w:r>
    </w:p>
    <w:p w14:paraId="09766D8C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in: Tröger/</w:t>
      </w:r>
      <w:proofErr w:type="spellStart"/>
      <w:r w:rsidRPr="00D56C99">
        <w:rPr>
          <w:bCs/>
          <w:lang w:val="de-DE"/>
        </w:rPr>
        <w:t>Karampatzos</w:t>
      </w:r>
      <w:proofErr w:type="spellEnd"/>
      <w:r w:rsidRPr="00D56C99">
        <w:rPr>
          <w:bCs/>
          <w:lang w:val="de-DE"/>
        </w:rPr>
        <w:t xml:space="preserve"> (Hrsg.), Gestaltung und Anpassung von Verträgen in Krisenzeiten, 2014, p. 137</w:t>
      </w:r>
    </w:p>
    <w:p w14:paraId="1F554697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</w:p>
    <w:p w14:paraId="2581C136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4F0119">
        <w:rPr>
          <w:b/>
          <w:bCs/>
          <w:lang w:val="en-GB"/>
        </w:rPr>
        <w:t xml:space="preserve">Private enforcement of investor protection – is private law up for the challenge? </w:t>
      </w:r>
      <w:r w:rsidRPr="00D56C99">
        <w:rPr>
          <w:b/>
          <w:bCs/>
          <w:lang w:val="de-DE"/>
        </w:rPr>
        <w:t xml:space="preserve">A </w:t>
      </w:r>
      <w:proofErr w:type="spellStart"/>
      <w:r w:rsidRPr="00D56C99">
        <w:rPr>
          <w:b/>
          <w:bCs/>
          <w:lang w:val="de-DE"/>
        </w:rPr>
        <w:t>glance</w:t>
      </w:r>
      <w:proofErr w:type="spellEnd"/>
      <w:r w:rsidRPr="00D56C99">
        <w:rPr>
          <w:b/>
          <w:bCs/>
          <w:lang w:val="de-DE"/>
        </w:rPr>
        <w:t xml:space="preserve"> at </w:t>
      </w:r>
      <w:proofErr w:type="spellStart"/>
      <w:r w:rsidRPr="00D56C99">
        <w:rPr>
          <w:b/>
          <w:bCs/>
          <w:lang w:val="de-DE"/>
        </w:rPr>
        <w:t>the</w:t>
      </w:r>
      <w:proofErr w:type="spellEnd"/>
      <w:r w:rsidRPr="00D56C99">
        <w:rPr>
          <w:b/>
          <w:bCs/>
          <w:lang w:val="de-DE"/>
        </w:rPr>
        <w:t xml:space="preserve"> United </w:t>
      </w:r>
      <w:proofErr w:type="spellStart"/>
      <w:r w:rsidRPr="00D56C99">
        <w:rPr>
          <w:b/>
          <w:bCs/>
          <w:lang w:val="de-DE"/>
        </w:rPr>
        <w:t>Kingdom</w:t>
      </w:r>
      <w:proofErr w:type="spellEnd"/>
      <w:r w:rsidRPr="00D56C99">
        <w:rPr>
          <w:bCs/>
          <w:lang w:val="de-DE"/>
        </w:rPr>
        <w:t xml:space="preserve"> (</w:t>
      </w:r>
      <w:proofErr w:type="spellStart"/>
      <w:r w:rsidRPr="00D56C99">
        <w:rPr>
          <w:bCs/>
          <w:lang w:val="de-DE"/>
        </w:rPr>
        <w:t>with</w:t>
      </w:r>
      <w:proofErr w:type="spellEnd"/>
      <w:r w:rsidRPr="00D56C99">
        <w:rPr>
          <w:bCs/>
          <w:lang w:val="de-DE"/>
        </w:rPr>
        <w:t xml:space="preserve"> </w:t>
      </w:r>
      <w:r w:rsidRPr="00D56C99">
        <w:rPr>
          <w:bCs/>
          <w:i/>
          <w:lang w:val="de-DE"/>
        </w:rPr>
        <w:t xml:space="preserve">K. </w:t>
      </w:r>
      <w:proofErr w:type="spellStart"/>
      <w:r w:rsidRPr="00D56C99">
        <w:rPr>
          <w:bCs/>
          <w:i/>
          <w:lang w:val="de-DE"/>
        </w:rPr>
        <w:t>Kaprinis</w:t>
      </w:r>
      <w:proofErr w:type="spellEnd"/>
      <w:r w:rsidRPr="00D56C99">
        <w:rPr>
          <w:bCs/>
          <w:lang w:val="de-DE"/>
        </w:rPr>
        <w:t>)</w:t>
      </w:r>
    </w:p>
    <w:p w14:paraId="7DDDEA7D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in: Festschrift zum 100-jährigen Jubiläum der Goethe-Universität Frankfurt, Fachbereich Rechtswissenschaft, Frankfurt am Main 2014, p. 483</w:t>
      </w:r>
    </w:p>
    <w:p w14:paraId="4579AE4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681EBC5E" w14:textId="77777777" w:rsidR="005D3AD5" w:rsidRPr="00D56C99" w:rsidRDefault="005D3AD5" w:rsidP="005D3AD5">
      <w:pPr>
        <w:spacing w:line="240" w:lineRule="auto"/>
        <w:rPr>
          <w:iCs/>
          <w:lang w:val="de-DE"/>
        </w:rPr>
      </w:pPr>
      <w:r w:rsidRPr="00D56C99">
        <w:rPr>
          <w:iCs/>
          <w:lang w:val="de-DE"/>
        </w:rPr>
        <w:t>Finanzinnovationen, Geschäftsleiterhaftung und Corporate Governance in regulierten Branchen</w:t>
      </w:r>
    </w:p>
    <w:p w14:paraId="7E2D4A4C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iCs/>
        </w:rPr>
        <w:lastRenderedPageBreak/>
        <w:t>(</w:t>
      </w:r>
      <w:r w:rsidRPr="004F0119">
        <w:rPr>
          <w:bCs/>
        </w:rPr>
        <w:t>Financial innovations, CEO liability and corporate governance in regulated industries</w:t>
      </w:r>
      <w:r w:rsidRPr="004F0119">
        <w:rPr>
          <w:iCs/>
        </w:rPr>
        <w:t>)</w:t>
      </w:r>
    </w:p>
    <w:p w14:paraId="2A8831E2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iCs/>
          <w:lang w:val="de-DE"/>
        </w:rPr>
        <w:t xml:space="preserve">in: </w:t>
      </w:r>
      <w:proofErr w:type="spellStart"/>
      <w:r w:rsidRPr="00D56C99">
        <w:rPr>
          <w:iCs/>
          <w:lang w:val="de-DE"/>
        </w:rPr>
        <w:t>Möslein</w:t>
      </w:r>
      <w:proofErr w:type="spellEnd"/>
      <w:r w:rsidRPr="00D56C99">
        <w:rPr>
          <w:iCs/>
          <w:lang w:val="de-DE"/>
        </w:rPr>
        <w:t xml:space="preserve"> (Ed.), Finanzinnovation und Rechtsordnung, </w:t>
      </w:r>
      <w:proofErr w:type="spellStart"/>
      <w:r w:rsidRPr="00D56C99">
        <w:rPr>
          <w:iCs/>
          <w:lang w:val="de-DE"/>
        </w:rPr>
        <w:t>Zurich</w:t>
      </w:r>
      <w:proofErr w:type="spellEnd"/>
      <w:r w:rsidRPr="00D56C99">
        <w:rPr>
          <w:iCs/>
          <w:lang w:val="de-DE"/>
        </w:rPr>
        <w:t xml:space="preserve"> 2014, p.272</w:t>
      </w:r>
    </w:p>
    <w:p w14:paraId="45EE70B6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6766C623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Rechtsermittlungspflichten und Rechtsbefolgungspflichten des Vorstands – Ein Beitrag zur aktienrechtlichen Legalitätspflicht</w:t>
      </w:r>
    </w:p>
    <w:p w14:paraId="6CCC2C9D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(Duties to act lawfully or the efficient breach of the law?)</w:t>
      </w:r>
    </w:p>
    <w:p w14:paraId="6FD8858F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bCs/>
          <w:lang w:val="de-DE"/>
        </w:rPr>
        <w:t xml:space="preserve"> Lwowski, </w:t>
      </w:r>
      <w:proofErr w:type="spellStart"/>
      <w:r w:rsidRPr="00D56C99">
        <w:rPr>
          <w:bCs/>
          <w:lang w:val="de-DE"/>
        </w:rPr>
        <w:t>Munich</w:t>
      </w:r>
      <w:proofErr w:type="spellEnd"/>
      <w:r w:rsidRPr="00D56C99">
        <w:rPr>
          <w:bCs/>
          <w:lang w:val="de-DE"/>
        </w:rPr>
        <w:t xml:space="preserve"> 2014, p. 333</w:t>
      </w:r>
    </w:p>
    <w:p w14:paraId="7603DDBA" w14:textId="77777777" w:rsidR="006B200B" w:rsidRPr="00D56C99" w:rsidRDefault="006B200B" w:rsidP="005D3AD5">
      <w:pPr>
        <w:spacing w:line="240" w:lineRule="auto"/>
        <w:rPr>
          <w:bCs/>
          <w:lang w:val="de-DE"/>
        </w:rPr>
      </w:pPr>
    </w:p>
    <w:p w14:paraId="0D5E1D63" w14:textId="77777777" w:rsidR="005D3AD5" w:rsidRPr="00D56C99" w:rsidRDefault="005D3AD5" w:rsidP="005D3AD5">
      <w:pPr>
        <w:keepNext/>
        <w:keepLines/>
        <w:spacing w:line="240" w:lineRule="auto"/>
        <w:rPr>
          <w:bCs/>
          <w:iCs/>
          <w:lang w:val="de-DE"/>
        </w:rPr>
      </w:pPr>
      <w:r w:rsidRPr="00D56C99">
        <w:rPr>
          <w:bCs/>
          <w:iCs/>
          <w:lang w:val="de-DE"/>
        </w:rPr>
        <w:t>Anlegerschutz durch Haftung nach deutschem und europäischem Kapitalmarktrecht</w:t>
      </w:r>
    </w:p>
    <w:p w14:paraId="6E9A1955" w14:textId="77777777" w:rsidR="005D3AD5" w:rsidRPr="004F0119" w:rsidRDefault="005D3AD5" w:rsidP="005D3AD5">
      <w:pPr>
        <w:spacing w:line="240" w:lineRule="auto"/>
        <w:rPr>
          <w:iCs/>
        </w:rPr>
      </w:pPr>
      <w:r w:rsidRPr="004F0119">
        <w:rPr>
          <w:bCs/>
          <w:iCs/>
        </w:rPr>
        <w:t>(Investor protection under German and European capital markets law)</w:t>
      </w:r>
    </w:p>
    <w:p w14:paraId="28CABED4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iCs/>
          <w:lang w:val="de-DE"/>
        </w:rPr>
        <w:t>Karlsruher Forum 2014, Schriftenreihe der Zeitschrift Versicherungsrecht (VersR), Band 55, Karlsruhe 2015, p. 5</w:t>
      </w:r>
    </w:p>
    <w:p w14:paraId="050782B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0C2D7235" w14:textId="77777777" w:rsidR="005D3AD5" w:rsidRPr="004F0119" w:rsidRDefault="005D3AD5" w:rsidP="005D3AD5">
      <w:pPr>
        <w:spacing w:line="240" w:lineRule="auto"/>
        <w:rPr>
          <w:b/>
          <w:bCs/>
        </w:rPr>
      </w:pPr>
      <w:r w:rsidRPr="004F0119">
        <w:rPr>
          <w:b/>
          <w:bCs/>
        </w:rPr>
        <w:t>A market for institutional investors?</w:t>
      </w:r>
    </w:p>
    <w:p w14:paraId="46830DAE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Coester-Waltjen</w:t>
      </w:r>
      <w:proofErr w:type="spellEnd"/>
      <w:r w:rsidRPr="00D56C99">
        <w:rPr>
          <w:bCs/>
          <w:lang w:val="de-DE"/>
        </w:rPr>
        <w:t>, 2015, p. 1147</w:t>
      </w:r>
    </w:p>
    <w:p w14:paraId="2CB0AF6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1146623B" w14:textId="77777777" w:rsidR="005D3AD5" w:rsidRPr="004F0119" w:rsidRDefault="005D3AD5" w:rsidP="005D3AD5">
      <w:pPr>
        <w:spacing w:line="240" w:lineRule="auto"/>
        <w:rPr>
          <w:b/>
          <w:bCs/>
        </w:rPr>
      </w:pPr>
      <w:r w:rsidRPr="004F0119">
        <w:rPr>
          <w:b/>
          <w:bCs/>
        </w:rPr>
        <w:t>(No) market for corporate governance?</w:t>
      </w:r>
    </w:p>
    <w:p w14:paraId="54333A6A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Related party transactions and shareholder approval rights</w:t>
      </w:r>
    </w:p>
    <w:p w14:paraId="4C54CB33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iCs/>
          <w:lang w:val="de-DE"/>
        </w:rPr>
        <w:t xml:space="preserve">Liber </w:t>
      </w:r>
      <w:proofErr w:type="spellStart"/>
      <w:r w:rsidRPr="00D56C99">
        <w:rPr>
          <w:iCs/>
          <w:lang w:val="de-DE"/>
        </w:rPr>
        <w:t>Amicorum</w:t>
      </w:r>
      <w:proofErr w:type="spellEnd"/>
      <w:r w:rsidRPr="00D56C99">
        <w:rPr>
          <w:iCs/>
          <w:lang w:val="de-DE"/>
        </w:rPr>
        <w:t xml:space="preserve"> </w:t>
      </w:r>
      <w:r w:rsidRPr="00D56C99">
        <w:rPr>
          <w:bCs/>
          <w:lang w:val="de-DE"/>
        </w:rPr>
        <w:t>Müller-Graff, 2015, p. 312</w:t>
      </w:r>
    </w:p>
    <w:p w14:paraId="6C04436F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7A9BE657" w14:textId="77777777" w:rsidR="005D3AD5" w:rsidRPr="004F0119" w:rsidRDefault="005D3AD5" w:rsidP="005D3AD5">
      <w:pPr>
        <w:spacing w:line="240" w:lineRule="auto"/>
        <w:rPr>
          <w:b/>
          <w:bCs/>
        </w:rPr>
      </w:pPr>
      <w:r w:rsidRPr="004F0119">
        <w:rPr>
          <w:b/>
          <w:bCs/>
        </w:rPr>
        <w:t>Household finance and the law – a case study on economic transplants</w:t>
      </w:r>
    </w:p>
    <w:p w14:paraId="49E0A2E6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in: </w:t>
      </w:r>
      <w:proofErr w:type="spellStart"/>
      <w:r w:rsidRPr="004F0119">
        <w:rPr>
          <w:bCs/>
        </w:rPr>
        <w:t>Faia</w:t>
      </w:r>
      <w:proofErr w:type="spellEnd"/>
      <w:r w:rsidRPr="004F0119">
        <w:rPr>
          <w:bCs/>
        </w:rPr>
        <w:t>/</w:t>
      </w:r>
      <w:proofErr w:type="spellStart"/>
      <w:r w:rsidRPr="004F0119">
        <w:rPr>
          <w:bCs/>
        </w:rPr>
        <w:t>Hackethal</w:t>
      </w:r>
      <w:proofErr w:type="spellEnd"/>
      <w:r w:rsidRPr="004F0119">
        <w:rPr>
          <w:bCs/>
        </w:rPr>
        <w:t>/</w:t>
      </w:r>
      <w:proofErr w:type="spellStart"/>
      <w:r w:rsidRPr="004F0119">
        <w:rPr>
          <w:bCs/>
        </w:rPr>
        <w:t>Haliassos</w:t>
      </w:r>
      <w:proofErr w:type="spellEnd"/>
      <w:r w:rsidRPr="004F0119">
        <w:rPr>
          <w:bCs/>
        </w:rPr>
        <w:t>/Langenbucher (Eds.), Financial Regulation: A Transatlantic Perspective, Cambridge University Press 2015</w:t>
      </w:r>
    </w:p>
    <w:p w14:paraId="49D61ECE" w14:textId="77777777" w:rsidR="005D3AD5" w:rsidRPr="004F0119" w:rsidRDefault="005D3AD5" w:rsidP="005D3AD5">
      <w:pPr>
        <w:spacing w:line="240" w:lineRule="auto"/>
        <w:rPr>
          <w:bCs/>
        </w:rPr>
      </w:pPr>
    </w:p>
    <w:p w14:paraId="3668A917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Sein und Schein im Überweisungsrecht – zur Geltung von Rechtsscheingrundsätzen bei der Autorisierung des Überweisungsauftrags sowie im Bereicherungsrecht</w:t>
      </w:r>
    </w:p>
    <w:p w14:paraId="682BB28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(On </w:t>
      </w:r>
      <w:proofErr w:type="spellStart"/>
      <w:r w:rsidRPr="00D56C99">
        <w:rPr>
          <w:bCs/>
          <w:lang w:val="de-DE"/>
        </w:rPr>
        <w:t>wire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transfers</w:t>
      </w:r>
      <w:proofErr w:type="spellEnd"/>
      <w:r w:rsidRPr="00D56C99">
        <w:rPr>
          <w:bCs/>
          <w:lang w:val="de-DE"/>
        </w:rPr>
        <w:t>)</w:t>
      </w:r>
    </w:p>
    <w:p w14:paraId="6F6D5A8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Liber </w:t>
      </w:r>
      <w:proofErr w:type="spellStart"/>
      <w:r w:rsidRPr="00D56C99">
        <w:rPr>
          <w:bCs/>
          <w:lang w:val="de-DE"/>
        </w:rPr>
        <w:t>Amicorum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Köndgen</w:t>
      </w:r>
      <w:proofErr w:type="spellEnd"/>
      <w:r w:rsidRPr="00D56C99">
        <w:rPr>
          <w:bCs/>
          <w:lang w:val="de-DE"/>
        </w:rPr>
        <w:t>, 2015, p. 383</w:t>
      </w:r>
    </w:p>
    <w:p w14:paraId="5136092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210A654E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Aktienrecht und Kapitalmarktrecht – 50 Jahre AktG</w:t>
      </w:r>
    </w:p>
    <w:p w14:paraId="26DD1B08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(Capital markets Law and Corporate law after 50 years of the German Code on stock corporations)</w:t>
      </w:r>
    </w:p>
    <w:p w14:paraId="0B62D681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 xml:space="preserve">in: ZGR 2015, </w:t>
      </w:r>
      <w:proofErr w:type="spellStart"/>
      <w:r w:rsidRPr="004F0119">
        <w:rPr>
          <w:bCs/>
        </w:rPr>
        <w:t>Sonderheft</w:t>
      </w:r>
      <w:proofErr w:type="spellEnd"/>
      <w:r w:rsidRPr="004F0119">
        <w:rPr>
          <w:bCs/>
        </w:rPr>
        <w:t xml:space="preserve"> 19, </w:t>
      </w:r>
      <w:r>
        <w:rPr>
          <w:bCs/>
        </w:rPr>
        <w:t>p. </w:t>
      </w:r>
      <w:r w:rsidRPr="004F0119">
        <w:rPr>
          <w:bCs/>
        </w:rPr>
        <w:t>273</w:t>
      </w:r>
    </w:p>
    <w:p w14:paraId="69CBC91C" w14:textId="77777777" w:rsidR="005D3AD5" w:rsidRPr="004F0119" w:rsidRDefault="005D3AD5" w:rsidP="005D3AD5">
      <w:pPr>
        <w:spacing w:line="240" w:lineRule="auto"/>
        <w:rPr>
          <w:bCs/>
        </w:rPr>
      </w:pPr>
    </w:p>
    <w:p w14:paraId="49EF247E" w14:textId="77777777" w:rsidR="005D3AD5" w:rsidRPr="004F0119" w:rsidRDefault="005D3AD5" w:rsidP="005D3AD5">
      <w:pPr>
        <w:spacing w:line="240" w:lineRule="auto"/>
        <w:rPr>
          <w:b/>
          <w:bCs/>
        </w:rPr>
      </w:pPr>
      <w:r w:rsidRPr="004F0119">
        <w:rPr>
          <w:b/>
          <w:bCs/>
        </w:rPr>
        <w:t>Diversity on corporate boards – why, how?</w:t>
      </w:r>
    </w:p>
    <w:p w14:paraId="7657D022" w14:textId="77777777" w:rsidR="005D3AD5" w:rsidRPr="004F0119" w:rsidRDefault="005D3AD5" w:rsidP="005D3AD5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>Revue Trimestrielle de Droit Financier 2015, 63</w:t>
      </w:r>
    </w:p>
    <w:p w14:paraId="21D8AACE" w14:textId="77777777" w:rsidR="005D3AD5" w:rsidRPr="004F0119" w:rsidRDefault="005D3AD5" w:rsidP="005D3AD5">
      <w:pPr>
        <w:spacing w:line="240" w:lineRule="auto"/>
        <w:rPr>
          <w:bCs/>
          <w:lang w:val="fr-FR"/>
        </w:rPr>
      </w:pPr>
    </w:p>
    <w:p w14:paraId="101D5D75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In Brüssel nichts Neues? - Der „verständige Anleger“ in der Marktmissbrauchsverordnung </w:t>
      </w:r>
    </w:p>
    <w:p w14:paraId="519702F5" w14:textId="77777777" w:rsidR="005D3AD5" w:rsidRPr="004F0119" w:rsidRDefault="005D3AD5" w:rsidP="005D3AD5">
      <w:pPr>
        <w:spacing w:line="240" w:lineRule="auto"/>
      </w:pPr>
      <w:r w:rsidRPr="004F0119">
        <w:t xml:space="preserve">(The </w:t>
      </w:r>
      <w:proofErr w:type="spellStart"/>
      <w:r w:rsidRPr="004F0119">
        <w:t>resonable</w:t>
      </w:r>
      <w:proofErr w:type="spellEnd"/>
      <w:r w:rsidRPr="004F0119">
        <w:t xml:space="preserve"> investor under the market abuse directive)</w:t>
      </w:r>
    </w:p>
    <w:p w14:paraId="29594659" w14:textId="77777777" w:rsidR="005D3AD5" w:rsidRPr="004F0119" w:rsidRDefault="005D3AD5" w:rsidP="005D3AD5">
      <w:pPr>
        <w:spacing w:line="240" w:lineRule="auto"/>
      </w:pPr>
      <w:r w:rsidRPr="004F0119">
        <w:t>AG 2016, 417</w:t>
      </w:r>
    </w:p>
    <w:p w14:paraId="60EC99E6" w14:textId="77777777" w:rsidR="005D3AD5" w:rsidRPr="004F0119" w:rsidRDefault="005D3AD5" w:rsidP="005D3AD5">
      <w:pPr>
        <w:spacing w:line="240" w:lineRule="auto"/>
      </w:pPr>
    </w:p>
    <w:p w14:paraId="6FD8F706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Do we need a law of corporate groups?</w:t>
      </w:r>
    </w:p>
    <w:p w14:paraId="7189A5A6" w14:textId="77777777" w:rsidR="005D3AD5" w:rsidRPr="004F0119" w:rsidRDefault="005D3AD5" w:rsidP="005D3AD5">
      <w:pPr>
        <w:spacing w:line="240" w:lineRule="auto"/>
      </w:pPr>
      <w:r w:rsidRPr="004F0119">
        <w:t>Fleischer/Kanda/Kim/Mülbert (</w:t>
      </w:r>
      <w:proofErr w:type="spellStart"/>
      <w:r w:rsidRPr="004F0119">
        <w:t>Hrsg</w:t>
      </w:r>
      <w:proofErr w:type="spellEnd"/>
      <w:r w:rsidRPr="004F0119">
        <w:t>.), German-Asian Perspectives on Company Law, 2016, 353</w:t>
      </w:r>
    </w:p>
    <w:p w14:paraId="48A4D6E7" w14:textId="77777777" w:rsidR="005D3AD5" w:rsidRPr="004F0119" w:rsidRDefault="005D3AD5" w:rsidP="005D3AD5">
      <w:pPr>
        <w:spacing w:line="240" w:lineRule="auto"/>
      </w:pPr>
    </w:p>
    <w:p w14:paraId="76D530A9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Die regulierte Aktiengesellschaft - ein Beitrag zur Entstehung von Bankgesellschaftsrecht</w:t>
      </w:r>
    </w:p>
    <w:p w14:paraId="6BB8ADF1" w14:textId="77777777" w:rsidR="005D3AD5" w:rsidRPr="004F0119" w:rsidRDefault="005D3AD5" w:rsidP="005D3AD5">
      <w:pPr>
        <w:spacing w:line="240" w:lineRule="auto"/>
      </w:pPr>
      <w:r w:rsidRPr="004F0119">
        <w:t>(Corporate governance of banks)</w:t>
      </w:r>
    </w:p>
    <w:p w14:paraId="26F5DBC8" w14:textId="77777777" w:rsidR="005D3AD5" w:rsidRPr="004F0119" w:rsidRDefault="005D3AD5" w:rsidP="005D3AD5">
      <w:pPr>
        <w:spacing w:line="240" w:lineRule="auto"/>
      </w:pPr>
      <w:r w:rsidRPr="004F0119">
        <w:t>in: Kalss/</w:t>
      </w:r>
      <w:proofErr w:type="spellStart"/>
      <w:r w:rsidRPr="004F0119">
        <w:t>Torggler</w:t>
      </w:r>
      <w:proofErr w:type="spellEnd"/>
      <w:r w:rsidRPr="004F0119">
        <w:t>, Compliance, Wien 2016, S. 25</w:t>
      </w:r>
    </w:p>
    <w:p w14:paraId="40FD4A6B" w14:textId="77777777" w:rsidR="005D3AD5" w:rsidRPr="004F0119" w:rsidRDefault="005D3AD5" w:rsidP="005D3AD5">
      <w:pPr>
        <w:spacing w:line="240" w:lineRule="auto"/>
      </w:pPr>
    </w:p>
    <w:p w14:paraId="501CBEA4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Shareholder activism, institutions of corporate governance and re-reading Roe</w:t>
      </w:r>
    </w:p>
    <w:p w14:paraId="79CA7643" w14:textId="77777777" w:rsidR="005D3AD5" w:rsidRPr="004F0119" w:rsidRDefault="005D3AD5" w:rsidP="005D3AD5">
      <w:pPr>
        <w:spacing w:line="240" w:lineRule="auto"/>
      </w:pPr>
      <w:r w:rsidRPr="004F0119">
        <w:t xml:space="preserve">Revue </w:t>
      </w:r>
      <w:proofErr w:type="spellStart"/>
      <w:r w:rsidRPr="004F0119">
        <w:t>Trimestrielle</w:t>
      </w:r>
      <w:proofErr w:type="spellEnd"/>
      <w:r w:rsidRPr="004F0119">
        <w:t xml:space="preserve"> Droit Financier 2016, 70</w:t>
      </w:r>
    </w:p>
    <w:p w14:paraId="6727DCA0" w14:textId="77777777" w:rsidR="005D3AD5" w:rsidRPr="004F0119" w:rsidRDefault="005D3AD5" w:rsidP="005D3AD5">
      <w:pPr>
        <w:spacing w:line="240" w:lineRule="auto"/>
      </w:pPr>
      <w:r w:rsidRPr="004F0119">
        <w:lastRenderedPageBreak/>
        <w:t>(note available at Oxford Business Law Blog, OBLB)</w:t>
      </w:r>
    </w:p>
    <w:p w14:paraId="7F47E2BA" w14:textId="77777777" w:rsidR="005D3AD5" w:rsidRPr="004F0119" w:rsidRDefault="005D3AD5" w:rsidP="005D3AD5">
      <w:pPr>
        <w:spacing w:line="240" w:lineRule="auto"/>
      </w:pPr>
    </w:p>
    <w:p w14:paraId="03D1FC66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Hedge fund activism in Germany and in the US - on convergences, differences and normative reasoning</w:t>
      </w:r>
    </w:p>
    <w:p w14:paraId="29CC8E3A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Liber </w:t>
      </w:r>
      <w:proofErr w:type="spellStart"/>
      <w:r w:rsidRPr="00D56C99">
        <w:rPr>
          <w:lang w:val="de-DE"/>
        </w:rPr>
        <w:t>amicorum</w:t>
      </w:r>
      <w:proofErr w:type="spellEnd"/>
      <w:r w:rsidRPr="00D56C99">
        <w:rPr>
          <w:lang w:val="de-DE"/>
        </w:rPr>
        <w:t xml:space="preserve"> Theodor Baums, 2017, 743</w:t>
      </w:r>
    </w:p>
    <w:p w14:paraId="27791140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6A979758" w14:textId="77777777" w:rsidR="005D3AD5" w:rsidRPr="00D56C99" w:rsidRDefault="005D3AD5" w:rsidP="005D3AD5">
      <w:pPr>
        <w:keepNext/>
        <w:keepLines/>
        <w:spacing w:line="240" w:lineRule="auto"/>
        <w:rPr>
          <w:lang w:val="de-DE"/>
        </w:rPr>
      </w:pPr>
      <w:r w:rsidRPr="00D56C99">
        <w:rPr>
          <w:lang w:val="de-DE"/>
        </w:rPr>
        <w:t>Kündigungsrecht der Bausparkassen zehn Jahre nach Zuteilungsreife</w:t>
      </w:r>
    </w:p>
    <w:p w14:paraId="5495F5AA" w14:textId="77777777" w:rsidR="005D3AD5" w:rsidRPr="004F0119" w:rsidRDefault="005D3AD5" w:rsidP="005D3AD5">
      <w:pPr>
        <w:keepNext/>
        <w:keepLines/>
        <w:spacing w:line="240" w:lineRule="auto"/>
      </w:pPr>
      <w:r w:rsidRPr="004F0119">
        <w:t>(Banks</w:t>
      </w:r>
      <w:r>
        <w:t>’</w:t>
      </w:r>
      <w:r w:rsidRPr="004F0119">
        <w:t xml:space="preserve"> right to terminate building savings contracts)</w:t>
      </w:r>
    </w:p>
    <w:p w14:paraId="17FE6DC7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NJW 2017, 1353</w:t>
      </w:r>
    </w:p>
    <w:p w14:paraId="16C617CE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488BE944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Digitales Finanzwesen - vom Bargeld zu virtuellen Währungen?</w:t>
      </w:r>
    </w:p>
    <w:p w14:paraId="3A80AEB8" w14:textId="77777777" w:rsidR="005D3AD5" w:rsidRPr="004F0119" w:rsidRDefault="005D3AD5" w:rsidP="005D3AD5">
      <w:pPr>
        <w:spacing w:line="240" w:lineRule="auto"/>
      </w:pPr>
      <w:r w:rsidRPr="004F0119">
        <w:t>(Digital finance – from cash to virtual currencies?)</w:t>
      </w:r>
    </w:p>
    <w:p w14:paraId="75BB9A96" w14:textId="77777777" w:rsidR="005D3AD5" w:rsidRPr="00D56C99" w:rsidRDefault="005D3AD5" w:rsidP="005D3AD5">
      <w:pPr>
        <w:spacing w:line="240" w:lineRule="auto"/>
        <w:rPr>
          <w:lang w:val="de-DE"/>
        </w:rPr>
      </w:pPr>
      <w:proofErr w:type="spellStart"/>
      <w:r w:rsidRPr="00D56C99">
        <w:rPr>
          <w:lang w:val="de-DE"/>
        </w:rPr>
        <w:t>AcP</w:t>
      </w:r>
      <w:proofErr w:type="spellEnd"/>
      <w:r w:rsidRPr="00D56C99">
        <w:rPr>
          <w:lang w:val="de-DE"/>
        </w:rPr>
        <w:t xml:space="preserve"> 2018, 383</w:t>
      </w:r>
    </w:p>
    <w:p w14:paraId="39267337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131ECF3D" w14:textId="77777777" w:rsidR="005D3AD5" w:rsidRPr="00D56C99" w:rsidRDefault="005D3AD5" w:rsidP="005D3AD5">
      <w:pPr>
        <w:keepNext/>
        <w:keepLines/>
        <w:spacing w:line="240" w:lineRule="auto"/>
        <w:rPr>
          <w:lang w:val="de-DE"/>
        </w:rPr>
      </w:pPr>
      <w:proofErr w:type="spellStart"/>
      <w:r w:rsidRPr="00D56C99">
        <w:rPr>
          <w:lang w:val="de-DE"/>
        </w:rPr>
        <w:t>FinTech</w:t>
      </w:r>
      <w:proofErr w:type="spellEnd"/>
      <w:r w:rsidRPr="00D56C99">
        <w:rPr>
          <w:lang w:val="de-DE"/>
        </w:rPr>
        <w:t xml:space="preserve"> Zahlungsverkehr (</w:t>
      </w:r>
      <w:proofErr w:type="spellStart"/>
      <w:r w:rsidRPr="00D56C99">
        <w:rPr>
          <w:lang w:val="de-DE"/>
        </w:rPr>
        <w:t>with</w:t>
      </w:r>
      <w:proofErr w:type="spellEnd"/>
      <w:r w:rsidRPr="00D56C99">
        <w:rPr>
          <w:lang w:val="de-DE"/>
        </w:rPr>
        <w:t xml:space="preserve"> </w:t>
      </w:r>
      <w:r w:rsidRPr="00D56C99">
        <w:rPr>
          <w:i/>
          <w:lang w:val="de-DE"/>
        </w:rPr>
        <w:t xml:space="preserve">B. </w:t>
      </w:r>
      <w:proofErr w:type="spellStart"/>
      <w:r w:rsidRPr="00D56C99">
        <w:rPr>
          <w:i/>
          <w:lang w:val="de-DE"/>
        </w:rPr>
        <w:t>Lerp</w:t>
      </w:r>
      <w:proofErr w:type="spellEnd"/>
      <w:r w:rsidRPr="00D56C99">
        <w:rPr>
          <w:i/>
          <w:lang w:val="de-DE"/>
        </w:rPr>
        <w:t>, J. Mack</w:t>
      </w:r>
      <w:r w:rsidRPr="00D56C99">
        <w:rPr>
          <w:lang w:val="de-DE"/>
        </w:rPr>
        <w:t>)</w:t>
      </w:r>
    </w:p>
    <w:p w14:paraId="20010ADD" w14:textId="77777777" w:rsidR="005D3AD5" w:rsidRPr="00D56C99" w:rsidRDefault="005D3AD5" w:rsidP="005D3AD5">
      <w:pPr>
        <w:keepNext/>
        <w:keepLines/>
        <w:spacing w:line="240" w:lineRule="auto"/>
        <w:rPr>
          <w:lang w:val="de-DE"/>
        </w:rPr>
      </w:pPr>
      <w:r w:rsidRPr="00D56C99">
        <w:rPr>
          <w:lang w:val="de-DE"/>
        </w:rPr>
        <w:t>(</w:t>
      </w:r>
      <w:proofErr w:type="spellStart"/>
      <w:r w:rsidRPr="00D56C99">
        <w:rPr>
          <w:lang w:val="de-DE"/>
        </w:rPr>
        <w:t>FinTech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payment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transactions</w:t>
      </w:r>
      <w:proofErr w:type="spellEnd"/>
      <w:r w:rsidRPr="00D56C99">
        <w:rPr>
          <w:lang w:val="de-DE"/>
        </w:rPr>
        <w:t>)</w:t>
      </w:r>
    </w:p>
    <w:p w14:paraId="630A807F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in: </w:t>
      </w:r>
      <w:proofErr w:type="spellStart"/>
      <w:r w:rsidRPr="00D56C99">
        <w:rPr>
          <w:lang w:val="de-DE"/>
        </w:rPr>
        <w:t>Kunschke</w:t>
      </w:r>
      <w:proofErr w:type="spellEnd"/>
      <w:r w:rsidRPr="00D56C99">
        <w:rPr>
          <w:lang w:val="de-DE"/>
        </w:rPr>
        <w:t>/</w:t>
      </w:r>
      <w:proofErr w:type="spellStart"/>
      <w:r w:rsidRPr="00D56C99">
        <w:rPr>
          <w:lang w:val="de-DE"/>
        </w:rPr>
        <w:t>Schaffelhuber</w:t>
      </w:r>
      <w:proofErr w:type="spellEnd"/>
      <w:r w:rsidRPr="00D56C99">
        <w:rPr>
          <w:lang w:val="de-DE"/>
        </w:rPr>
        <w:t xml:space="preserve">, </w:t>
      </w:r>
      <w:proofErr w:type="spellStart"/>
      <w:r w:rsidRPr="00D56C99">
        <w:rPr>
          <w:lang w:val="de-DE"/>
        </w:rPr>
        <w:t>FinTech</w:t>
      </w:r>
      <w:proofErr w:type="spellEnd"/>
      <w:r w:rsidRPr="00D56C99">
        <w:rPr>
          <w:lang w:val="de-DE"/>
        </w:rPr>
        <w:t>, Grundlagen - Regulierung - Finanzierung - Case Studies, Berlin 2018, S. 69</w:t>
      </w:r>
    </w:p>
    <w:p w14:paraId="24F07B87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38BFB965" w14:textId="77777777" w:rsidR="005D3AD5" w:rsidRPr="004F0119" w:rsidRDefault="005D3AD5" w:rsidP="005D3AD5">
      <w:pPr>
        <w:spacing w:line="240" w:lineRule="auto"/>
        <w:rPr>
          <w:b/>
          <w:lang w:val="fr-FR"/>
        </w:rPr>
      </w:pPr>
      <w:proofErr w:type="spellStart"/>
      <w:r w:rsidRPr="004F0119">
        <w:rPr>
          <w:b/>
          <w:lang w:val="fr-FR"/>
        </w:rPr>
        <w:t>Gender</w:t>
      </w:r>
      <w:proofErr w:type="spellEnd"/>
      <w:r w:rsidRPr="004F0119">
        <w:rPr>
          <w:b/>
          <w:lang w:val="fr-FR"/>
        </w:rPr>
        <w:t xml:space="preserve"> and </w:t>
      </w:r>
      <w:proofErr w:type="spellStart"/>
      <w:r w:rsidRPr="004F0119">
        <w:rPr>
          <w:b/>
          <w:lang w:val="fr-FR"/>
        </w:rPr>
        <w:t>corporate</w:t>
      </w:r>
      <w:proofErr w:type="spellEnd"/>
      <w:r w:rsidRPr="004F0119">
        <w:rPr>
          <w:b/>
          <w:lang w:val="fr-FR"/>
        </w:rPr>
        <w:t xml:space="preserve"> </w:t>
      </w:r>
      <w:proofErr w:type="spellStart"/>
      <w:r w:rsidRPr="004F0119">
        <w:rPr>
          <w:b/>
          <w:lang w:val="fr-FR"/>
        </w:rPr>
        <w:t>law</w:t>
      </w:r>
      <w:proofErr w:type="spellEnd"/>
      <w:r w:rsidRPr="004F0119">
        <w:rPr>
          <w:b/>
          <w:lang w:val="fr-FR"/>
        </w:rPr>
        <w:t>?</w:t>
      </w:r>
    </w:p>
    <w:p w14:paraId="2E3818E1" w14:textId="77777777" w:rsidR="005D3AD5" w:rsidRPr="004F0119" w:rsidRDefault="005D3AD5" w:rsidP="005D3AD5">
      <w:pPr>
        <w:spacing w:line="240" w:lineRule="auto"/>
        <w:rPr>
          <w:lang w:val="fr-FR"/>
        </w:rPr>
      </w:pPr>
      <w:r w:rsidRPr="004F0119">
        <w:rPr>
          <w:lang w:val="fr-FR"/>
        </w:rPr>
        <w:t xml:space="preserve">La Revue des Juristes de </w:t>
      </w:r>
      <w:proofErr w:type="spellStart"/>
      <w:r w:rsidRPr="004F0119">
        <w:rPr>
          <w:lang w:val="fr-FR"/>
        </w:rPr>
        <w:t>SciencesPo</w:t>
      </w:r>
      <w:proofErr w:type="spellEnd"/>
      <w:r w:rsidRPr="004F0119">
        <w:rPr>
          <w:lang w:val="fr-FR"/>
        </w:rPr>
        <w:t xml:space="preserve"> 2018, 37</w:t>
      </w:r>
    </w:p>
    <w:p w14:paraId="391F4AA1" w14:textId="77777777" w:rsidR="005D3AD5" w:rsidRPr="004F0119" w:rsidRDefault="005D3AD5" w:rsidP="005D3AD5">
      <w:pPr>
        <w:spacing w:line="240" w:lineRule="auto"/>
        <w:rPr>
          <w:bCs/>
          <w:lang w:val="fr-FR"/>
        </w:rPr>
      </w:pPr>
    </w:p>
    <w:p w14:paraId="007EC2A2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Initial coin offerings - where do we stand and should we move?</w:t>
      </w:r>
    </w:p>
    <w:p w14:paraId="19FD608D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Revue </w:t>
      </w:r>
      <w:proofErr w:type="spellStart"/>
      <w:r w:rsidRPr="00D56C99">
        <w:rPr>
          <w:lang w:val="de-DE"/>
        </w:rPr>
        <w:t>Trimestrielle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Droit</w:t>
      </w:r>
      <w:proofErr w:type="spellEnd"/>
      <w:r w:rsidRPr="00D56C99">
        <w:rPr>
          <w:lang w:val="de-DE"/>
        </w:rPr>
        <w:t xml:space="preserve"> Financier 2018, 40</w:t>
      </w:r>
    </w:p>
    <w:p w14:paraId="286DAE55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12C5BF32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Die Einflussnahme von Aktionären auf die Zusammensetzung des Vorstands</w:t>
      </w:r>
    </w:p>
    <w:p w14:paraId="4744A7DC" w14:textId="77777777" w:rsidR="005D3AD5" w:rsidRPr="004F0119" w:rsidRDefault="005D3AD5" w:rsidP="005D3AD5">
      <w:pPr>
        <w:spacing w:line="240" w:lineRule="auto"/>
      </w:pPr>
      <w:r w:rsidRPr="004F0119">
        <w:t>(Hedge funds and their power to appoint directors)</w:t>
      </w:r>
    </w:p>
    <w:p w14:paraId="2FE87814" w14:textId="77777777" w:rsidR="005D3AD5" w:rsidRDefault="005D3AD5" w:rsidP="005D3AD5">
      <w:pPr>
        <w:spacing w:line="240" w:lineRule="auto"/>
      </w:pPr>
      <w:r w:rsidRPr="00EA0476">
        <w:t xml:space="preserve">Liber </w:t>
      </w:r>
      <w:proofErr w:type="spellStart"/>
      <w:r w:rsidRPr="00EA0476">
        <w:t>amicorum</w:t>
      </w:r>
      <w:proofErr w:type="spellEnd"/>
      <w:r w:rsidRPr="00EA0476">
        <w:t xml:space="preserve"> Bergmann, 2018, p. 443</w:t>
      </w:r>
    </w:p>
    <w:p w14:paraId="04536EA3" w14:textId="77777777" w:rsidR="005D3AD5" w:rsidRDefault="005D3AD5" w:rsidP="005D3AD5">
      <w:pPr>
        <w:spacing w:line="240" w:lineRule="auto"/>
      </w:pPr>
    </w:p>
    <w:p w14:paraId="0FC80EC0" w14:textId="77777777" w:rsidR="005D3AD5" w:rsidRPr="00EA0476" w:rsidRDefault="005D3AD5" w:rsidP="005D3AD5">
      <w:pPr>
        <w:spacing w:line="240" w:lineRule="auto"/>
        <w:rPr>
          <w:b/>
          <w:bCs/>
        </w:rPr>
      </w:pPr>
      <w:r w:rsidRPr="00EA0476">
        <w:rPr>
          <w:b/>
          <w:bCs/>
        </w:rPr>
        <w:t>A Common Language of Law and Economics? Integrating Economic Transplants into the Legal Web</w:t>
      </w:r>
    </w:p>
    <w:p w14:paraId="08EAA3AF" w14:textId="77777777" w:rsidR="005D3AD5" w:rsidRPr="00064D60" w:rsidRDefault="005D3AD5" w:rsidP="005D3AD5">
      <w:pPr>
        <w:spacing w:line="240" w:lineRule="auto"/>
        <w:rPr>
          <w:bCs/>
        </w:rPr>
      </w:pPr>
      <w:r w:rsidRPr="00EA0476">
        <w:rPr>
          <w:bCs/>
        </w:rPr>
        <w:t>in: Muir-Watt/Arroyo, Global Private International Law: Adjudicating without Frontiers, 2019, S. 351</w:t>
      </w:r>
    </w:p>
    <w:p w14:paraId="2C963270" w14:textId="77777777" w:rsidR="005D3AD5" w:rsidRDefault="005D3AD5" w:rsidP="005D3AD5">
      <w:pPr>
        <w:spacing w:line="240" w:lineRule="auto"/>
      </w:pPr>
    </w:p>
    <w:p w14:paraId="1919BF91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Corporate Governance in State-Owned Financial Institutions</w:t>
      </w:r>
    </w:p>
    <w:p w14:paraId="0BD6DF17" w14:textId="77777777" w:rsidR="005D3AD5" w:rsidRPr="004955C5" w:rsidRDefault="005D3AD5" w:rsidP="005D3AD5">
      <w:pPr>
        <w:spacing w:line="240" w:lineRule="auto"/>
      </w:pPr>
      <w:r>
        <w:t>(</w:t>
      </w:r>
      <w:r w:rsidRPr="004955C5">
        <w:t xml:space="preserve">with: </w:t>
      </w:r>
      <w:r w:rsidRPr="004B100D">
        <w:rPr>
          <w:i/>
        </w:rPr>
        <w:t xml:space="preserve">J. </w:t>
      </w:r>
      <w:proofErr w:type="spellStart"/>
      <w:r w:rsidRPr="004B100D">
        <w:rPr>
          <w:i/>
        </w:rPr>
        <w:t>Adolff</w:t>
      </w:r>
      <w:proofErr w:type="spellEnd"/>
      <w:r>
        <w:rPr>
          <w:i/>
        </w:rPr>
        <w:t>,</w:t>
      </w:r>
      <w:r w:rsidRPr="004B100D">
        <w:rPr>
          <w:i/>
        </w:rPr>
        <w:t xml:space="preserve"> C. Skinner</w:t>
      </w:r>
      <w:r w:rsidRPr="004B100D">
        <w:t>)</w:t>
      </w:r>
    </w:p>
    <w:p w14:paraId="4D393EC9" w14:textId="77777777" w:rsidR="005D3AD5" w:rsidRDefault="005D3AD5" w:rsidP="005D3AD5">
      <w:pPr>
        <w:spacing w:line="240" w:lineRule="auto"/>
      </w:pPr>
      <w:r w:rsidRPr="004F0119">
        <w:t>in: Busch/</w:t>
      </w:r>
      <w:proofErr w:type="spellStart"/>
      <w:r w:rsidRPr="004F0119">
        <w:t>Ferrarini</w:t>
      </w:r>
      <w:proofErr w:type="spellEnd"/>
      <w:r w:rsidRPr="004F0119">
        <w:t xml:space="preserve">/van </w:t>
      </w:r>
      <w:proofErr w:type="spellStart"/>
      <w:r w:rsidRPr="004F0119">
        <w:t>Solinge</w:t>
      </w:r>
      <w:proofErr w:type="spellEnd"/>
      <w:r w:rsidRPr="004F0119">
        <w:t xml:space="preserve">, Corporate Governance of Financial Institutions, Oxford University Press </w:t>
      </w:r>
      <w:r w:rsidRPr="00C36420">
        <w:t>201</w:t>
      </w:r>
      <w:r>
        <w:t>9, p. 326</w:t>
      </w:r>
    </w:p>
    <w:p w14:paraId="282A7F29" w14:textId="77777777" w:rsidR="005D3AD5" w:rsidRDefault="005D3AD5" w:rsidP="005D3AD5">
      <w:pPr>
        <w:spacing w:line="240" w:lineRule="auto"/>
      </w:pPr>
    </w:p>
    <w:p w14:paraId="015D0F15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The ECJ in „</w:t>
      </w:r>
      <w:proofErr w:type="spellStart"/>
      <w:r w:rsidRPr="004F0119">
        <w:rPr>
          <w:b/>
        </w:rPr>
        <w:t>Lafonta</w:t>
      </w:r>
      <w:proofErr w:type="spellEnd"/>
      <w:r w:rsidRPr="004F0119">
        <w:rPr>
          <w:b/>
        </w:rPr>
        <w:t>“ and economic transplants for judges</w:t>
      </w:r>
    </w:p>
    <w:p w14:paraId="6A183B2B" w14:textId="77777777" w:rsidR="005D3AD5" w:rsidRDefault="005D3AD5" w:rsidP="005D3AD5">
      <w:pPr>
        <w:spacing w:line="240" w:lineRule="auto"/>
      </w:pPr>
      <w:r w:rsidRPr="004F0119">
        <w:t>in: Muir-Watt/</w:t>
      </w:r>
      <w:proofErr w:type="spellStart"/>
      <w:r>
        <w:t>Bizikova</w:t>
      </w:r>
      <w:proofErr w:type="spellEnd"/>
      <w:r>
        <w:t>/</w:t>
      </w:r>
      <w:proofErr w:type="spellStart"/>
      <w:r>
        <w:t>Brandao</w:t>
      </w:r>
      <w:proofErr w:type="spellEnd"/>
      <w:r>
        <w:t xml:space="preserve"> de Oliveira/</w:t>
      </w:r>
      <w:r w:rsidRPr="004F0119">
        <w:t>Arroyo</w:t>
      </w:r>
      <w:r>
        <w:t>/</w:t>
      </w:r>
      <w:r w:rsidRPr="004F0119">
        <w:t>, Global Private International Law: Adjudicating</w:t>
      </w:r>
      <w:r>
        <w:t xml:space="preserve"> without Frontiers, Edward Elgar </w:t>
      </w:r>
      <w:r w:rsidRPr="004F0119">
        <w:t>2018</w:t>
      </w:r>
      <w:r>
        <w:t>, 350</w:t>
      </w:r>
    </w:p>
    <w:p w14:paraId="3EA2D6B6" w14:textId="77777777" w:rsidR="005D3AD5" w:rsidRDefault="005D3AD5" w:rsidP="005D3AD5">
      <w:pPr>
        <w:spacing w:line="240" w:lineRule="auto"/>
      </w:pPr>
    </w:p>
    <w:p w14:paraId="0813CD40" w14:textId="77777777" w:rsidR="005D3AD5" w:rsidRDefault="005D3AD5" w:rsidP="005D3AD5">
      <w:pPr>
        <w:spacing w:line="240" w:lineRule="auto"/>
      </w:pPr>
      <w:r>
        <w:rPr>
          <w:b/>
        </w:rPr>
        <w:t>Regulation of digital assets – How France and Germany are paving the way for an EU reform</w:t>
      </w:r>
    </w:p>
    <w:p w14:paraId="7AB5CE83" w14:textId="77777777" w:rsidR="005D3AD5" w:rsidRPr="004B0877" w:rsidRDefault="005D3AD5" w:rsidP="005D3AD5">
      <w:pPr>
        <w:spacing w:line="240" w:lineRule="auto"/>
      </w:pPr>
      <w:r w:rsidRPr="004B0877">
        <w:t xml:space="preserve">(with Jennifer </w:t>
      </w:r>
      <w:proofErr w:type="spellStart"/>
      <w:r w:rsidRPr="004B0877">
        <w:t>d’Hoir</w:t>
      </w:r>
      <w:proofErr w:type="spellEnd"/>
      <w:r w:rsidRPr="004B0877">
        <w:t>)</w:t>
      </w:r>
    </w:p>
    <w:p w14:paraId="2BC0759F" w14:textId="77777777" w:rsidR="005D3AD5" w:rsidRPr="004B0877" w:rsidRDefault="005D3AD5" w:rsidP="005D3AD5">
      <w:pPr>
        <w:spacing w:line="240" w:lineRule="auto"/>
      </w:pPr>
      <w:r w:rsidRPr="004B0877">
        <w:t>RTDF 2019, 40</w:t>
      </w:r>
    </w:p>
    <w:p w14:paraId="116D1C52" w14:textId="77777777" w:rsidR="005D3AD5" w:rsidRPr="004B0877" w:rsidRDefault="005D3AD5" w:rsidP="005D3AD5">
      <w:pPr>
        <w:spacing w:line="240" w:lineRule="auto"/>
      </w:pPr>
    </w:p>
    <w:p w14:paraId="21E43B2D" w14:textId="77777777" w:rsidR="005D3AD5" w:rsidRPr="00EA0476" w:rsidRDefault="005D3AD5" w:rsidP="005D3AD5">
      <w:pPr>
        <w:spacing w:line="240" w:lineRule="auto"/>
        <w:rPr>
          <w:b/>
          <w:bCs/>
        </w:rPr>
      </w:pPr>
      <w:r w:rsidRPr="00EA0476">
        <w:rPr>
          <w:b/>
          <w:bCs/>
        </w:rPr>
        <w:t>Training for Temptation – thoughts on a law school class</w:t>
      </w:r>
    </w:p>
    <w:p w14:paraId="4BBEE877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in: FS Karsten Schmidt, 2019, 775</w:t>
      </w:r>
    </w:p>
    <w:p w14:paraId="75E90321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072A0A65" w14:textId="77777777" w:rsidR="005D3AD5" w:rsidRPr="00D56C99" w:rsidRDefault="005D3AD5" w:rsidP="005D3AD5">
      <w:pPr>
        <w:keepNext/>
        <w:keepLines/>
        <w:spacing w:line="240" w:lineRule="auto"/>
        <w:rPr>
          <w:rFonts w:cstheme="minorHAnsi"/>
          <w:lang w:val="de-DE"/>
        </w:rPr>
      </w:pPr>
      <w:r w:rsidRPr="00D56C99">
        <w:rPr>
          <w:rFonts w:cstheme="minorHAnsi"/>
          <w:lang w:val="de-DE"/>
        </w:rPr>
        <w:lastRenderedPageBreak/>
        <w:t xml:space="preserve">Interdisziplinäre Forschung im Unternehmensrecht – auf dem Weg zu einer </w:t>
      </w:r>
      <w:proofErr w:type="spellStart"/>
      <w:r w:rsidRPr="00D56C99">
        <w:rPr>
          <w:rFonts w:cstheme="minorHAnsi"/>
          <w:i/>
          <w:lang w:val="de-DE"/>
        </w:rPr>
        <w:t>cognitive</w:t>
      </w:r>
      <w:proofErr w:type="spellEnd"/>
      <w:r w:rsidRPr="00D56C99">
        <w:rPr>
          <w:rFonts w:cstheme="minorHAnsi"/>
          <w:i/>
          <w:lang w:val="de-DE"/>
        </w:rPr>
        <w:t xml:space="preserve"> </w:t>
      </w:r>
      <w:proofErr w:type="spellStart"/>
      <w:r w:rsidRPr="00D56C99">
        <w:rPr>
          <w:rFonts w:cstheme="minorHAnsi"/>
          <w:i/>
          <w:lang w:val="de-DE"/>
        </w:rPr>
        <w:t>corporate</w:t>
      </w:r>
      <w:proofErr w:type="spellEnd"/>
      <w:r w:rsidRPr="00D56C99">
        <w:rPr>
          <w:rFonts w:cstheme="minorHAnsi"/>
          <w:i/>
          <w:lang w:val="de-DE"/>
        </w:rPr>
        <w:t xml:space="preserve"> </w:t>
      </w:r>
      <w:proofErr w:type="spellStart"/>
      <w:r w:rsidRPr="00D56C99">
        <w:rPr>
          <w:rFonts w:cstheme="minorHAnsi"/>
          <w:i/>
          <w:lang w:val="de-DE"/>
        </w:rPr>
        <w:t>governance</w:t>
      </w:r>
      <w:proofErr w:type="spellEnd"/>
      <w:r w:rsidRPr="00D56C99">
        <w:rPr>
          <w:rFonts w:cstheme="minorHAnsi"/>
          <w:lang w:val="de-DE"/>
        </w:rPr>
        <w:t>?</w:t>
      </w:r>
    </w:p>
    <w:p w14:paraId="72DD6C7A" w14:textId="77777777" w:rsidR="005D3AD5" w:rsidRPr="0053424F" w:rsidRDefault="005D3AD5" w:rsidP="005D3AD5">
      <w:pPr>
        <w:keepNext/>
        <w:keepLines/>
        <w:spacing w:line="240" w:lineRule="auto"/>
        <w:rPr>
          <w:rFonts w:cstheme="minorHAnsi"/>
        </w:rPr>
      </w:pPr>
      <w:r w:rsidRPr="0053424F">
        <w:rPr>
          <w:rFonts w:cstheme="minorHAnsi"/>
        </w:rPr>
        <w:t xml:space="preserve">(Interdisciplinary scholarship in corporate law – on our way towards </w:t>
      </w:r>
      <w:r w:rsidRPr="0053424F">
        <w:rPr>
          <w:rFonts w:cstheme="minorHAnsi"/>
          <w:i/>
        </w:rPr>
        <w:t>cognitive corporate governance</w:t>
      </w:r>
      <w:r w:rsidRPr="0053424F">
        <w:rPr>
          <w:rFonts w:cstheme="minorHAnsi"/>
        </w:rPr>
        <w:t>?)</w:t>
      </w:r>
    </w:p>
    <w:p w14:paraId="33976F78" w14:textId="77777777" w:rsidR="005D3AD5" w:rsidRPr="00D56C99" w:rsidRDefault="005D3AD5" w:rsidP="005D3AD5">
      <w:pPr>
        <w:spacing w:line="240" w:lineRule="auto"/>
        <w:rPr>
          <w:rFonts w:cstheme="minorHAnsi"/>
          <w:lang w:val="de-DE"/>
        </w:rPr>
      </w:pPr>
      <w:r w:rsidRPr="00D56C99">
        <w:rPr>
          <w:rFonts w:cstheme="minorHAnsi"/>
          <w:lang w:val="de-DE"/>
        </w:rPr>
        <w:t>ZGR 2019, 717</w:t>
      </w:r>
    </w:p>
    <w:p w14:paraId="539C1ED7" w14:textId="77777777" w:rsidR="005D3AD5" w:rsidRPr="00D56C99" w:rsidRDefault="005D3AD5" w:rsidP="005D3AD5">
      <w:pPr>
        <w:spacing w:line="240" w:lineRule="auto"/>
        <w:rPr>
          <w:rFonts w:cstheme="minorHAnsi"/>
          <w:lang w:val="de-DE"/>
        </w:rPr>
      </w:pPr>
    </w:p>
    <w:p w14:paraId="27580C8D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„Aktivistische Leerverkäufer” – eine Überlegung zur Markteffizienz und deren Grenzen im Kapitalmarktrecht (</w:t>
      </w:r>
      <w:proofErr w:type="spellStart"/>
      <w:r w:rsidRPr="00D56C99">
        <w:rPr>
          <w:lang w:val="de-DE"/>
        </w:rPr>
        <w:t>with</w:t>
      </w:r>
      <w:proofErr w:type="spellEnd"/>
      <w:r w:rsidRPr="00D56C99">
        <w:rPr>
          <w:lang w:val="de-DE"/>
        </w:rPr>
        <w:t xml:space="preserve"> </w:t>
      </w:r>
      <w:r w:rsidRPr="00D56C99">
        <w:rPr>
          <w:i/>
          <w:lang w:val="de-DE"/>
        </w:rPr>
        <w:t>D. Hau, J. Wentz</w:t>
      </w:r>
      <w:r w:rsidRPr="00D56C99">
        <w:rPr>
          <w:lang w:val="de-DE"/>
        </w:rPr>
        <w:t>)</w:t>
      </w:r>
    </w:p>
    <w:p w14:paraId="77E64D05" w14:textId="77777777" w:rsidR="005D3AD5" w:rsidRPr="00350C64" w:rsidRDefault="005D3AD5" w:rsidP="005D3AD5">
      <w:pPr>
        <w:spacing w:line="240" w:lineRule="auto"/>
      </w:pPr>
      <w:r w:rsidRPr="00350C64">
        <w:t>(</w:t>
      </w:r>
      <w:r>
        <w:t>“A</w:t>
      </w:r>
      <w:r w:rsidRPr="00350C64">
        <w:t xml:space="preserve">ctivist short sellers“ – </w:t>
      </w:r>
      <w:r>
        <w:t>O</w:t>
      </w:r>
      <w:r w:rsidRPr="00350C64">
        <w:t xml:space="preserve">n market efficiency and </w:t>
      </w:r>
      <w:r>
        <w:t>its limits in capital markets law)</w:t>
      </w:r>
    </w:p>
    <w:p w14:paraId="5925A3D0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>ZBB 2019, 307</w:t>
      </w:r>
    </w:p>
    <w:p w14:paraId="140A4B17" w14:textId="77777777" w:rsidR="005D3AD5" w:rsidRPr="00D56C99" w:rsidRDefault="005D3AD5" w:rsidP="005D3AD5">
      <w:pPr>
        <w:spacing w:line="240" w:lineRule="auto"/>
        <w:rPr>
          <w:lang w:val="de-DE"/>
        </w:rPr>
      </w:pPr>
    </w:p>
    <w:p w14:paraId="69EF73BD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Empfiehlt sich eine Neuregelung des deutschen Wertpapierbegriffs? – Eine Überlegung aus Anlass von „initial </w:t>
      </w:r>
      <w:proofErr w:type="spellStart"/>
      <w:r w:rsidRPr="00D56C99">
        <w:rPr>
          <w:lang w:val="de-DE"/>
        </w:rPr>
        <w:t>coin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offerings</w:t>
      </w:r>
      <w:proofErr w:type="spellEnd"/>
      <w:r w:rsidRPr="00D56C99">
        <w:rPr>
          <w:lang w:val="de-DE"/>
        </w:rPr>
        <w:t>“ –</w:t>
      </w:r>
    </w:p>
    <w:p w14:paraId="22381751" w14:textId="77777777" w:rsidR="005D3AD5" w:rsidRPr="004F0119" w:rsidRDefault="005D3AD5" w:rsidP="005D3AD5">
      <w:pPr>
        <w:spacing w:line="240" w:lineRule="auto"/>
      </w:pPr>
      <w:r w:rsidRPr="004F0119">
        <w:t xml:space="preserve">(Defining </w:t>
      </w:r>
      <w:r>
        <w:t>“s</w:t>
      </w:r>
      <w:r w:rsidRPr="004F0119">
        <w:t xml:space="preserve">ecurities“ under German law) </w:t>
      </w:r>
    </w:p>
    <w:p w14:paraId="5CE3495A" w14:textId="77777777" w:rsidR="005D3AD5" w:rsidRDefault="005D3AD5" w:rsidP="005D3AD5">
      <w:pPr>
        <w:spacing w:line="240" w:lineRule="auto"/>
      </w:pPr>
      <w:r w:rsidRPr="00C261CE">
        <w:t xml:space="preserve">Liber </w:t>
      </w:r>
      <w:proofErr w:type="spellStart"/>
      <w:r w:rsidRPr="00C261CE">
        <w:t>amicorum</w:t>
      </w:r>
      <w:proofErr w:type="spellEnd"/>
      <w:r w:rsidRPr="00C261CE">
        <w:t xml:space="preserve"> Seibert, 2019</w:t>
      </w:r>
      <w:r>
        <w:t>, p. 525</w:t>
      </w:r>
    </w:p>
    <w:p w14:paraId="1681F41D" w14:textId="77777777" w:rsidR="005D3AD5" w:rsidRPr="00FB3FDC" w:rsidRDefault="005D3AD5" w:rsidP="005D3AD5">
      <w:pPr>
        <w:spacing w:line="240" w:lineRule="auto"/>
      </w:pPr>
    </w:p>
    <w:p w14:paraId="127EBE07" w14:textId="77777777" w:rsidR="005D3AD5" w:rsidRPr="004F0119" w:rsidRDefault="005D3AD5" w:rsidP="005D3AD5">
      <w:pPr>
        <w:spacing w:line="240" w:lineRule="auto"/>
        <w:rPr>
          <w:b/>
        </w:rPr>
      </w:pPr>
      <w:r w:rsidRPr="004F0119">
        <w:rPr>
          <w:b/>
        </w:rPr>
        <w:t>The Capital Markets Union and the Virtual World: Initial Coin Offerings, Tokens and Virtual Corporations</w:t>
      </w:r>
    </w:p>
    <w:p w14:paraId="234CBC94" w14:textId="77777777" w:rsidR="005D3AD5" w:rsidRPr="0053424F" w:rsidRDefault="005D3AD5" w:rsidP="005D3AD5">
      <w:pPr>
        <w:spacing w:line="240" w:lineRule="auto"/>
      </w:pPr>
      <w:r w:rsidRPr="004F0119">
        <w:t>in: Allen/</w:t>
      </w:r>
      <w:proofErr w:type="spellStart"/>
      <w:r w:rsidRPr="004F0119">
        <w:t>Faia</w:t>
      </w:r>
      <w:proofErr w:type="spellEnd"/>
      <w:r w:rsidRPr="004F0119">
        <w:t>/</w:t>
      </w:r>
      <w:proofErr w:type="spellStart"/>
      <w:r w:rsidRPr="004F0119">
        <w:t>Haliassos</w:t>
      </w:r>
      <w:proofErr w:type="spellEnd"/>
      <w:r w:rsidRPr="004F0119">
        <w:t>/Langenbucher, The Capital Markets Union, MIT Press, 2019</w:t>
      </w:r>
      <w:r>
        <w:t>, p. 215</w:t>
      </w:r>
    </w:p>
    <w:p w14:paraId="51EB4FC8" w14:textId="77777777" w:rsidR="005D3AD5" w:rsidRPr="0053424F" w:rsidRDefault="005D3AD5" w:rsidP="005D3AD5">
      <w:pPr>
        <w:spacing w:line="240" w:lineRule="auto"/>
      </w:pPr>
    </w:p>
    <w:p w14:paraId="4B609993" w14:textId="77777777" w:rsidR="005D3AD5" w:rsidRPr="00C17C8B" w:rsidRDefault="005D3AD5" w:rsidP="005D3AD5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 w:rsidRPr="00C17C8B">
        <w:rPr>
          <w:rFonts w:ascii="Times New Roman" w:hAnsi="Times New Roman" w:cs="Times New Roman"/>
          <w:sz w:val="24"/>
          <w:szCs w:val="24"/>
        </w:rPr>
        <w:t xml:space="preserve">Das insiderrechtliche Handelsverbot - </w:t>
      </w:r>
    </w:p>
    <w:p w14:paraId="53F08826" w14:textId="77777777" w:rsidR="005D3AD5" w:rsidRPr="00C17C8B" w:rsidRDefault="005D3AD5" w:rsidP="005D3AD5">
      <w:pPr>
        <w:spacing w:line="240" w:lineRule="auto"/>
        <w:rPr>
          <w:szCs w:val="24"/>
          <w:lang w:val="de-DE"/>
        </w:rPr>
      </w:pPr>
      <w:r w:rsidRPr="00C17C8B">
        <w:rPr>
          <w:szCs w:val="24"/>
          <w:lang w:val="de-DE"/>
        </w:rPr>
        <w:t>Zur Geschichte eines Verbotstatbestands und zur Kodifikation von Rechtsprechung</w:t>
      </w:r>
    </w:p>
    <w:p w14:paraId="4DA3FB49" w14:textId="77777777" w:rsidR="005D3AD5" w:rsidRPr="00C17C8B" w:rsidRDefault="005D3AD5" w:rsidP="005D3AD5">
      <w:pPr>
        <w:spacing w:line="240" w:lineRule="auto"/>
        <w:rPr>
          <w:szCs w:val="24"/>
        </w:rPr>
      </w:pPr>
      <w:r w:rsidRPr="00C17C8B">
        <w:rPr>
          <w:szCs w:val="24"/>
        </w:rPr>
        <w:t>(Insider Trading prohibition – on the history of a prohibition and the codification of jurisprudence)</w:t>
      </w:r>
    </w:p>
    <w:p w14:paraId="26EC056D" w14:textId="77777777" w:rsidR="005D3AD5" w:rsidRPr="00C17C8B" w:rsidRDefault="005D3AD5" w:rsidP="005D3AD5">
      <w:pPr>
        <w:spacing w:line="240" w:lineRule="auto"/>
        <w:rPr>
          <w:szCs w:val="24"/>
          <w:lang w:val="de-DE"/>
        </w:rPr>
      </w:pPr>
      <w:r w:rsidRPr="00C17C8B">
        <w:rPr>
          <w:szCs w:val="24"/>
          <w:lang w:val="de-DE"/>
        </w:rPr>
        <w:t xml:space="preserve">in: </w:t>
      </w:r>
      <w:proofErr w:type="spellStart"/>
      <w:r w:rsidRPr="00C17C8B">
        <w:rPr>
          <w:szCs w:val="24"/>
          <w:lang w:val="de-DE"/>
        </w:rPr>
        <w:t>Klöhn</w:t>
      </w:r>
      <w:proofErr w:type="spellEnd"/>
      <w:r w:rsidRPr="00C17C8B">
        <w:rPr>
          <w:szCs w:val="24"/>
          <w:lang w:val="de-DE"/>
        </w:rPr>
        <w:t>/Mock, FS WpHG, 2019, p. 551</w:t>
      </w:r>
    </w:p>
    <w:p w14:paraId="4798DB46" w14:textId="77777777" w:rsidR="005D3AD5" w:rsidRPr="00C17C8B" w:rsidRDefault="005D3AD5" w:rsidP="005D3AD5">
      <w:pPr>
        <w:spacing w:line="240" w:lineRule="auto"/>
        <w:rPr>
          <w:szCs w:val="24"/>
          <w:lang w:val="de-DE"/>
        </w:rPr>
      </w:pPr>
    </w:p>
    <w:p w14:paraId="4E20DA81" w14:textId="77777777" w:rsidR="005D3AD5" w:rsidRPr="00C17C8B" w:rsidRDefault="005D3AD5" w:rsidP="005D3AD5">
      <w:pPr>
        <w:keepNext/>
        <w:keepLines/>
        <w:spacing w:line="240" w:lineRule="auto"/>
        <w:rPr>
          <w:szCs w:val="24"/>
        </w:rPr>
      </w:pPr>
      <w:r w:rsidRPr="00C17C8B">
        <w:rPr>
          <w:szCs w:val="24"/>
        </w:rPr>
        <w:t xml:space="preserve">Der </w:t>
      </w:r>
      <w:proofErr w:type="spellStart"/>
      <w:r w:rsidRPr="00C17C8B">
        <w:rPr>
          <w:szCs w:val="24"/>
        </w:rPr>
        <w:t>Aufsichtsrat</w:t>
      </w:r>
      <w:proofErr w:type="spellEnd"/>
      <w:r w:rsidRPr="00C17C8B">
        <w:rPr>
          <w:szCs w:val="24"/>
        </w:rPr>
        <w:t xml:space="preserve"> in </w:t>
      </w:r>
      <w:proofErr w:type="spellStart"/>
      <w:r w:rsidRPr="00C17C8B">
        <w:rPr>
          <w:szCs w:val="24"/>
        </w:rPr>
        <w:t>Finanzinstituten</w:t>
      </w:r>
      <w:proofErr w:type="spellEnd"/>
    </w:p>
    <w:p w14:paraId="5D6B6B0A" w14:textId="77777777" w:rsidR="005D3AD5" w:rsidRPr="0053424F" w:rsidRDefault="005D3AD5" w:rsidP="005D3AD5">
      <w:pPr>
        <w:spacing w:line="240" w:lineRule="auto"/>
      </w:pPr>
      <w:r w:rsidRPr="0053424F">
        <w:t>(Corporate governance of supervisory board</w:t>
      </w:r>
      <w:r>
        <w:t>s</w:t>
      </w:r>
      <w:r w:rsidRPr="0053424F">
        <w:t xml:space="preserve"> in financial institutions)</w:t>
      </w:r>
    </w:p>
    <w:p w14:paraId="7CF65936" w14:textId="77777777" w:rsidR="005D3AD5" w:rsidRDefault="005D3AD5" w:rsidP="005D3AD5">
      <w:pPr>
        <w:spacing w:line="240" w:lineRule="auto"/>
      </w:pPr>
      <w:r>
        <w:t>in:</w:t>
      </w:r>
      <w:r w:rsidRPr="0053424F">
        <w:t xml:space="preserve"> </w:t>
      </w:r>
      <w:proofErr w:type="spellStart"/>
      <w:r w:rsidRPr="0053424F">
        <w:t>Hopt</w:t>
      </w:r>
      <w:proofErr w:type="spellEnd"/>
      <w:r w:rsidRPr="0053424F">
        <w:t>/Binder/</w:t>
      </w:r>
      <w:proofErr w:type="spellStart"/>
      <w:r w:rsidRPr="0053424F">
        <w:t>Böcking</w:t>
      </w:r>
      <w:proofErr w:type="spellEnd"/>
      <w:r w:rsidRPr="0053424F">
        <w:t xml:space="preserve">, Corporate Governance von </w:t>
      </w:r>
      <w:proofErr w:type="spellStart"/>
      <w:r w:rsidRPr="0053424F">
        <w:t>Banken</w:t>
      </w:r>
      <w:proofErr w:type="spellEnd"/>
      <w:r w:rsidRPr="0053424F">
        <w:t>, 20</w:t>
      </w:r>
      <w:r>
        <w:t>20</w:t>
      </w:r>
    </w:p>
    <w:p w14:paraId="11C9731E" w14:textId="77777777" w:rsidR="005D3AD5" w:rsidRDefault="005D3AD5" w:rsidP="005D3AD5">
      <w:pPr>
        <w:spacing w:line="240" w:lineRule="auto"/>
      </w:pPr>
    </w:p>
    <w:p w14:paraId="7851FB2B" w14:textId="77777777" w:rsidR="005D3AD5" w:rsidRPr="002C71A3" w:rsidRDefault="005D3AD5" w:rsidP="005D3AD5">
      <w:pPr>
        <w:spacing w:line="240" w:lineRule="auto"/>
        <w:rPr>
          <w:b/>
          <w:bCs/>
        </w:rPr>
      </w:pPr>
      <w:r w:rsidRPr="002C71A3">
        <w:rPr>
          <w:b/>
          <w:bCs/>
        </w:rPr>
        <w:t>Responsible A.I. credit scoring  - a legal framework</w:t>
      </w:r>
    </w:p>
    <w:p w14:paraId="7C1DA671" w14:textId="77777777" w:rsidR="005D3AD5" w:rsidRPr="002C71A3" w:rsidRDefault="005D3AD5" w:rsidP="005D3AD5">
      <w:pPr>
        <w:spacing w:line="240" w:lineRule="auto"/>
      </w:pPr>
      <w:r w:rsidRPr="002C71A3">
        <w:t>European Business Law Review 2020, 527</w:t>
      </w:r>
    </w:p>
    <w:p w14:paraId="188726C7" w14:textId="77777777" w:rsidR="005D3AD5" w:rsidRDefault="005D3AD5" w:rsidP="005D3AD5">
      <w:pPr>
        <w:spacing w:line="240" w:lineRule="auto"/>
      </w:pPr>
    </w:p>
    <w:p w14:paraId="13E75F29" w14:textId="77777777" w:rsidR="005D3AD5" w:rsidRPr="00335A3A" w:rsidRDefault="005D3AD5" w:rsidP="005D3AD5">
      <w:pPr>
        <w:spacing w:line="240" w:lineRule="auto"/>
        <w:rPr>
          <w:rFonts w:cstheme="minorHAnsi"/>
          <w:b/>
        </w:rPr>
      </w:pPr>
      <w:r w:rsidRPr="00335A3A">
        <w:rPr>
          <w:rFonts w:cstheme="minorHAnsi"/>
          <w:b/>
        </w:rPr>
        <w:t xml:space="preserve">Regulatory Arbitrage, Economic Clichés and Expert Talk, </w:t>
      </w:r>
    </w:p>
    <w:p w14:paraId="2E3A6A95" w14:textId="77777777" w:rsidR="005D3AD5" w:rsidRPr="00BE470B" w:rsidRDefault="005D3AD5" w:rsidP="005D3AD5">
      <w:pPr>
        <w:spacing w:line="240" w:lineRule="auto"/>
        <w:rPr>
          <w:rFonts w:cstheme="minorHAnsi"/>
          <w:color w:val="000000" w:themeColor="text1"/>
        </w:rPr>
      </w:pPr>
      <w:r w:rsidRPr="00BE470B">
        <w:rPr>
          <w:rFonts w:cstheme="minorHAnsi"/>
          <w:color w:val="000000" w:themeColor="text1"/>
        </w:rPr>
        <w:t>Accounting, Economics and Law: A Convivium, 2020</w:t>
      </w:r>
    </w:p>
    <w:p w14:paraId="0642BB9E" w14:textId="77777777" w:rsidR="00C17C8B" w:rsidRPr="00BE470B" w:rsidRDefault="005D3AD5" w:rsidP="005D3AD5">
      <w:pPr>
        <w:spacing w:line="240" w:lineRule="auto"/>
        <w:rPr>
          <w:color w:val="000000" w:themeColor="text1"/>
        </w:rPr>
      </w:pPr>
      <w:r w:rsidRPr="00BE470B">
        <w:rPr>
          <w:color w:val="000000" w:themeColor="text1"/>
        </w:rPr>
        <w:t>published online at:</w:t>
      </w:r>
    </w:p>
    <w:p w14:paraId="1217A2EF" w14:textId="065123C9" w:rsidR="005D3AD5" w:rsidRPr="00BE470B" w:rsidRDefault="00667804" w:rsidP="005D3AD5">
      <w:pPr>
        <w:spacing w:line="240" w:lineRule="auto"/>
        <w:rPr>
          <w:color w:val="000000" w:themeColor="text1"/>
        </w:rPr>
      </w:pPr>
      <w:hyperlink r:id="rId8" w:history="1">
        <w:r w:rsidR="00C17C8B" w:rsidRPr="00BE470B">
          <w:rPr>
            <w:rStyle w:val="Link"/>
            <w:color w:val="000000" w:themeColor="text1"/>
          </w:rPr>
          <w:t>https://www.degruyter.com/view/journals/ael/ahead-of-print/article-10.1515-ael-2019-0054/article-10.1515-ael-2019-0054.xml</w:t>
        </w:r>
      </w:hyperlink>
    </w:p>
    <w:p w14:paraId="3583D59E" w14:textId="1D094E1D" w:rsidR="005D3AD5" w:rsidRPr="00BF52D7" w:rsidRDefault="005D3AD5" w:rsidP="005D3AD5">
      <w:pPr>
        <w:spacing w:line="240" w:lineRule="auto"/>
      </w:pPr>
      <w:r>
        <w:t>print version to be published in 2021</w:t>
      </w:r>
    </w:p>
    <w:p w14:paraId="1DA6E82A" w14:textId="77777777" w:rsidR="007B30C2" w:rsidRDefault="007B30C2" w:rsidP="005D3AD5">
      <w:pPr>
        <w:spacing w:line="240" w:lineRule="auto"/>
        <w:rPr>
          <w:rFonts w:cstheme="minorHAnsi"/>
        </w:rPr>
      </w:pPr>
    </w:p>
    <w:p w14:paraId="17D8D922" w14:textId="77777777" w:rsidR="00BF52D7" w:rsidRPr="002B251B" w:rsidRDefault="00BF52D7" w:rsidP="00BF52D7">
      <w:pPr>
        <w:spacing w:line="240" w:lineRule="auto"/>
      </w:pPr>
      <w:proofErr w:type="spellStart"/>
      <w:r w:rsidRPr="002B251B">
        <w:t>Kapitalmarktunion</w:t>
      </w:r>
      <w:proofErr w:type="spellEnd"/>
      <w:r w:rsidRPr="002B251B">
        <w:t xml:space="preserve"> und </w:t>
      </w:r>
      <w:proofErr w:type="spellStart"/>
      <w:r w:rsidRPr="002B251B">
        <w:t>marktinduzierte</w:t>
      </w:r>
      <w:proofErr w:type="spellEnd"/>
      <w:r w:rsidRPr="002B251B">
        <w:t xml:space="preserve"> </w:t>
      </w:r>
      <w:proofErr w:type="spellStart"/>
      <w:r w:rsidRPr="002B251B">
        <w:t>Aktionärsrechte</w:t>
      </w:r>
      <w:proofErr w:type="spellEnd"/>
    </w:p>
    <w:p w14:paraId="750EB235" w14:textId="40AC4270" w:rsidR="00BF52D7" w:rsidRDefault="00BF52D7" w:rsidP="00BF52D7">
      <w:pPr>
        <w:spacing w:line="240" w:lineRule="auto"/>
      </w:pPr>
      <w:r w:rsidRPr="003252AB">
        <w:t>(Capit</w:t>
      </w:r>
      <w:r>
        <w:t>al Markets Union and trading-related shareholder rights)</w:t>
      </w:r>
    </w:p>
    <w:p w14:paraId="2B7DABBD" w14:textId="61D6466D" w:rsidR="00BF52D7" w:rsidRPr="00BF52D7" w:rsidRDefault="00BF52D7" w:rsidP="00BF52D7">
      <w:pPr>
        <w:spacing w:line="240" w:lineRule="auto"/>
        <w:rPr>
          <w:i/>
          <w:iCs/>
        </w:rPr>
      </w:pPr>
      <w:r>
        <w:t xml:space="preserve">Co-authored with </w:t>
      </w:r>
      <w:r>
        <w:rPr>
          <w:i/>
          <w:iCs/>
        </w:rPr>
        <w:t xml:space="preserve">Johannes </w:t>
      </w:r>
      <w:proofErr w:type="spellStart"/>
      <w:r>
        <w:rPr>
          <w:i/>
          <w:iCs/>
        </w:rPr>
        <w:t>Adolff</w:t>
      </w:r>
      <w:proofErr w:type="spellEnd"/>
    </w:p>
    <w:p w14:paraId="4FD798AF" w14:textId="652DA968" w:rsidR="00BF52D7" w:rsidRDefault="00BF52D7" w:rsidP="00BF52D7">
      <w:pPr>
        <w:spacing w:line="240" w:lineRule="auto"/>
        <w:rPr>
          <w:lang w:val="fr-FR"/>
        </w:rPr>
      </w:pPr>
      <w:r>
        <w:rPr>
          <w:lang w:val="fr-FR"/>
        </w:rPr>
        <w:t xml:space="preserve">Liber </w:t>
      </w:r>
      <w:proofErr w:type="spellStart"/>
      <w:r>
        <w:rPr>
          <w:lang w:val="fr-FR"/>
        </w:rPr>
        <w:t>Amicorum</w:t>
      </w:r>
      <w:proofErr w:type="spellEnd"/>
      <w:r w:rsidRPr="002C54B4">
        <w:rPr>
          <w:lang w:val="fr-FR"/>
        </w:rPr>
        <w:t xml:space="preserve"> </w:t>
      </w:r>
      <w:proofErr w:type="spellStart"/>
      <w:r w:rsidRPr="002C54B4">
        <w:rPr>
          <w:lang w:val="fr-FR"/>
        </w:rPr>
        <w:t>Hopt</w:t>
      </w:r>
      <w:proofErr w:type="spellEnd"/>
      <w:r w:rsidRPr="002C54B4">
        <w:rPr>
          <w:lang w:val="fr-FR"/>
        </w:rPr>
        <w:t>, 2020</w:t>
      </w:r>
      <w:r>
        <w:rPr>
          <w:lang w:val="fr-FR"/>
        </w:rPr>
        <w:t>, 676</w:t>
      </w:r>
    </w:p>
    <w:p w14:paraId="23C8F8AA" w14:textId="6FF84B3A" w:rsidR="00BF52D7" w:rsidRDefault="00BF52D7" w:rsidP="00BF52D7">
      <w:pPr>
        <w:spacing w:line="240" w:lineRule="auto"/>
        <w:rPr>
          <w:lang w:val="fr-FR"/>
        </w:rPr>
      </w:pPr>
    </w:p>
    <w:p w14:paraId="54A54C63" w14:textId="77777777" w:rsidR="00BF52D7" w:rsidRPr="00D56C99" w:rsidRDefault="00BF52D7" w:rsidP="00BF52D7">
      <w:pPr>
        <w:spacing w:line="240" w:lineRule="auto"/>
        <w:rPr>
          <w:lang w:val="de-DE"/>
        </w:rPr>
      </w:pPr>
      <w:proofErr w:type="spellStart"/>
      <w:r w:rsidRPr="00D56C99">
        <w:rPr>
          <w:lang w:val="de-DE"/>
        </w:rPr>
        <w:t>Wirecard</w:t>
      </w:r>
      <w:proofErr w:type="spellEnd"/>
      <w:r w:rsidRPr="00D56C99">
        <w:rPr>
          <w:lang w:val="de-DE"/>
        </w:rPr>
        <w:t xml:space="preserve"> – ein Skandal zur richtigen Zeit</w:t>
      </w:r>
    </w:p>
    <w:p w14:paraId="647045BC" w14:textId="77777777" w:rsidR="00BF52D7" w:rsidRPr="000121D9" w:rsidRDefault="00BF52D7" w:rsidP="00BF52D7">
      <w:pPr>
        <w:spacing w:line="240" w:lineRule="auto"/>
      </w:pPr>
      <w:r w:rsidRPr="000121D9">
        <w:t>(</w:t>
      </w:r>
      <w:proofErr w:type="spellStart"/>
      <w:r w:rsidRPr="000121D9">
        <w:t>Wirecard</w:t>
      </w:r>
      <w:proofErr w:type="spellEnd"/>
      <w:r w:rsidRPr="000121D9">
        <w:t xml:space="preserve"> – a timely scandal)</w:t>
      </w:r>
    </w:p>
    <w:p w14:paraId="236AD620" w14:textId="19E51D30" w:rsidR="00BF52D7" w:rsidRDefault="00BF52D7" w:rsidP="00BF52D7">
      <w:pPr>
        <w:spacing w:line="240" w:lineRule="auto"/>
      </w:pPr>
      <w:proofErr w:type="spellStart"/>
      <w:r w:rsidRPr="000121D9">
        <w:t>EuZW</w:t>
      </w:r>
      <w:proofErr w:type="spellEnd"/>
      <w:r w:rsidRPr="000121D9">
        <w:t xml:space="preserve"> 2020</w:t>
      </w:r>
      <w:r>
        <w:t>, 681</w:t>
      </w:r>
    </w:p>
    <w:p w14:paraId="059D896A" w14:textId="07AD6C39" w:rsidR="00C17C8B" w:rsidRDefault="00C17C8B" w:rsidP="00BF52D7">
      <w:pPr>
        <w:spacing w:line="240" w:lineRule="auto"/>
      </w:pPr>
    </w:p>
    <w:p w14:paraId="3A642B96" w14:textId="77777777" w:rsidR="00C17C8B" w:rsidRPr="004B0877" w:rsidRDefault="00C17C8B" w:rsidP="00C17C8B">
      <w:pPr>
        <w:keepNext/>
        <w:keepLines/>
        <w:spacing w:line="240" w:lineRule="auto"/>
      </w:pPr>
      <w:r w:rsidRPr="00587BBC">
        <w:rPr>
          <w:lang w:val="fr-FR"/>
        </w:rPr>
        <w:lastRenderedPageBreak/>
        <w:t xml:space="preserve">Une langue commune du droit et de l’économie ? </w:t>
      </w:r>
      <w:r w:rsidRPr="004B0877">
        <w:t xml:space="preserve">Sur les </w:t>
      </w:r>
      <w:proofErr w:type="spellStart"/>
      <w:r w:rsidRPr="004B0877">
        <w:t>transferts</w:t>
      </w:r>
      <w:proofErr w:type="spellEnd"/>
      <w:r w:rsidRPr="004B0877">
        <w:t xml:space="preserve"> </w:t>
      </w:r>
      <w:proofErr w:type="spellStart"/>
      <w:r w:rsidRPr="004B0877">
        <w:t>hétérogènes</w:t>
      </w:r>
      <w:proofErr w:type="spellEnd"/>
      <w:r w:rsidRPr="004B0877">
        <w:t xml:space="preserve"> </w:t>
      </w:r>
    </w:p>
    <w:p w14:paraId="2FE8F129" w14:textId="77777777" w:rsidR="00C17C8B" w:rsidRPr="00587BBC" w:rsidRDefault="00C17C8B" w:rsidP="00C17C8B">
      <w:pPr>
        <w:keepNext/>
        <w:keepLines/>
        <w:spacing w:line="240" w:lineRule="auto"/>
        <w:rPr>
          <w:lang w:val="fr-FR"/>
        </w:rPr>
      </w:pPr>
      <w:r w:rsidRPr="004B0877">
        <w:t xml:space="preserve">(A common language of law and economics ? </w:t>
      </w:r>
      <w:r>
        <w:rPr>
          <w:lang w:val="fr-FR"/>
        </w:rPr>
        <w:t xml:space="preserve">On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transplants)</w:t>
      </w:r>
    </w:p>
    <w:p w14:paraId="26D25CC9" w14:textId="65A07FD7" w:rsidR="00C17C8B" w:rsidRPr="00C17C8B" w:rsidRDefault="00C17C8B" w:rsidP="00C17C8B">
      <w:pPr>
        <w:keepNext/>
        <w:keepLines/>
        <w:spacing w:line="240" w:lineRule="auto"/>
        <w:rPr>
          <w:lang w:val="fr-FR"/>
        </w:rPr>
      </w:pPr>
      <w:r>
        <w:rPr>
          <w:lang w:val="fr-FR"/>
        </w:rPr>
        <w:t>in:</w:t>
      </w:r>
      <w:r w:rsidRPr="00587BBC">
        <w:rPr>
          <w:lang w:val="fr-FR"/>
        </w:rPr>
        <w:t xml:space="preserve"> </w:t>
      </w:r>
      <w:proofErr w:type="spellStart"/>
      <w:r w:rsidRPr="00587BBC">
        <w:rPr>
          <w:lang w:val="fr-FR"/>
        </w:rPr>
        <w:t>Muir</w:t>
      </w:r>
      <w:proofErr w:type="spellEnd"/>
      <w:r w:rsidRPr="00587BBC">
        <w:rPr>
          <w:lang w:val="fr-FR"/>
        </w:rPr>
        <w:t>-Watt/</w:t>
      </w:r>
      <w:proofErr w:type="spellStart"/>
      <w:r w:rsidRPr="00587BBC">
        <w:rPr>
          <w:lang w:val="fr-FR"/>
        </w:rPr>
        <w:t>Bizikova</w:t>
      </w:r>
      <w:proofErr w:type="spellEnd"/>
      <w:r w:rsidRPr="00587BBC">
        <w:rPr>
          <w:lang w:val="fr-FR"/>
        </w:rPr>
        <w:t>/</w:t>
      </w:r>
      <w:proofErr w:type="spellStart"/>
      <w:r w:rsidRPr="00587BBC">
        <w:rPr>
          <w:lang w:val="fr-FR"/>
        </w:rPr>
        <w:t>Brandao</w:t>
      </w:r>
      <w:proofErr w:type="spellEnd"/>
      <w:r w:rsidRPr="00587BBC">
        <w:rPr>
          <w:lang w:val="fr-FR"/>
        </w:rPr>
        <w:t xml:space="preserve"> de Oliveira/Arroyo, </w:t>
      </w:r>
      <w:r>
        <w:rPr>
          <w:lang w:val="fr-FR"/>
        </w:rPr>
        <w:t>L</w:t>
      </w:r>
      <w:r w:rsidRPr="00587BBC">
        <w:rPr>
          <w:lang w:val="fr-FR"/>
        </w:rPr>
        <w:t xml:space="preserve">e </w:t>
      </w:r>
      <w:r>
        <w:rPr>
          <w:lang w:val="fr-FR"/>
        </w:rPr>
        <w:t>T</w:t>
      </w:r>
      <w:r w:rsidRPr="00587BBC">
        <w:rPr>
          <w:lang w:val="fr-FR"/>
        </w:rPr>
        <w:t xml:space="preserve">ournant </w:t>
      </w:r>
      <w:r>
        <w:rPr>
          <w:lang w:val="fr-FR"/>
        </w:rPr>
        <w:t>G</w:t>
      </w:r>
      <w:r w:rsidRPr="00587BBC">
        <w:rPr>
          <w:lang w:val="fr-FR"/>
        </w:rPr>
        <w:t xml:space="preserve">lobal en </w:t>
      </w:r>
      <w:r>
        <w:rPr>
          <w:lang w:val="fr-FR"/>
        </w:rPr>
        <w:t>D</w:t>
      </w:r>
      <w:r w:rsidRPr="00587BBC">
        <w:rPr>
          <w:lang w:val="fr-FR"/>
        </w:rPr>
        <w:t xml:space="preserve">roit </w:t>
      </w:r>
      <w:r>
        <w:rPr>
          <w:lang w:val="fr-FR"/>
        </w:rPr>
        <w:t>I</w:t>
      </w:r>
      <w:r w:rsidRPr="00587BBC">
        <w:rPr>
          <w:lang w:val="fr-FR"/>
        </w:rPr>
        <w:t xml:space="preserve">nternational </w:t>
      </w:r>
      <w:r>
        <w:rPr>
          <w:lang w:val="fr-FR"/>
        </w:rPr>
        <w:t>P</w:t>
      </w:r>
      <w:r w:rsidRPr="00587BBC">
        <w:rPr>
          <w:lang w:val="fr-FR"/>
        </w:rPr>
        <w:t xml:space="preserve">rivé : </w:t>
      </w:r>
      <w:r>
        <w:rPr>
          <w:lang w:val="fr-FR"/>
        </w:rPr>
        <w:t>J</w:t>
      </w:r>
      <w:r w:rsidRPr="00587BBC">
        <w:rPr>
          <w:lang w:val="fr-FR"/>
        </w:rPr>
        <w:t xml:space="preserve">urisprudence sans </w:t>
      </w:r>
      <w:r>
        <w:rPr>
          <w:lang w:val="fr-FR"/>
        </w:rPr>
        <w:t>F</w:t>
      </w:r>
      <w:r w:rsidRPr="00587BBC">
        <w:rPr>
          <w:lang w:val="fr-FR"/>
        </w:rPr>
        <w:t>rontières</w:t>
      </w:r>
      <w:r>
        <w:rPr>
          <w:lang w:val="fr-FR"/>
        </w:rPr>
        <w:t xml:space="preserve">, </w:t>
      </w:r>
      <w:r w:rsidRPr="00C17C8B">
        <w:t>2020</w:t>
      </w:r>
      <w:r>
        <w:t>, pp. 423-434</w:t>
      </w:r>
    </w:p>
    <w:p w14:paraId="231D697A" w14:textId="0CE9C9E1" w:rsidR="00C17C8B" w:rsidRDefault="00C17C8B" w:rsidP="00BF52D7">
      <w:pPr>
        <w:spacing w:line="240" w:lineRule="auto"/>
      </w:pPr>
    </w:p>
    <w:p w14:paraId="139F55F5" w14:textId="77777777" w:rsidR="00C17C8B" w:rsidRPr="00C17C8B" w:rsidRDefault="00C17C8B" w:rsidP="00C17C8B">
      <w:pPr>
        <w:spacing w:line="240" w:lineRule="auto"/>
        <w:rPr>
          <w:b/>
          <w:bCs/>
        </w:rPr>
      </w:pPr>
      <w:r w:rsidRPr="00C17C8B">
        <w:rPr>
          <w:b/>
          <w:bCs/>
        </w:rPr>
        <w:t>Financial Rewards for Whistleblowing and Motivation Crowding Theory – A Lesson from Psychology for Transposing EU Directive 2019/1937</w:t>
      </w:r>
    </w:p>
    <w:p w14:paraId="62B148EE" w14:textId="3E3C7EE2" w:rsidR="00C17C8B" w:rsidRDefault="00C17C8B" w:rsidP="00C17C8B">
      <w:pPr>
        <w:spacing w:line="240" w:lineRule="auto"/>
        <w:rPr>
          <w:lang w:val="de-DE"/>
        </w:rPr>
      </w:pPr>
      <w:r w:rsidRPr="00BF52D7">
        <w:rPr>
          <w:lang w:val="de-DE"/>
        </w:rPr>
        <w:t xml:space="preserve">in: Liber </w:t>
      </w:r>
      <w:proofErr w:type="spellStart"/>
      <w:r w:rsidRPr="00BF52D7">
        <w:rPr>
          <w:lang w:val="de-DE"/>
        </w:rPr>
        <w:t>Amicorum</w:t>
      </w:r>
      <w:proofErr w:type="spellEnd"/>
      <w:r w:rsidRPr="00BF52D7">
        <w:rPr>
          <w:lang w:val="de-DE"/>
        </w:rPr>
        <w:t xml:space="preserve"> Windbichler, 2020, p. 137</w:t>
      </w:r>
      <w:r>
        <w:rPr>
          <w:lang w:val="de-DE"/>
        </w:rPr>
        <w:t>9-1396</w:t>
      </w:r>
    </w:p>
    <w:p w14:paraId="31DC7639" w14:textId="71B0458A" w:rsidR="00C17C8B" w:rsidRDefault="00C17C8B" w:rsidP="00C17C8B">
      <w:pPr>
        <w:spacing w:line="240" w:lineRule="auto"/>
        <w:rPr>
          <w:lang w:val="de-DE"/>
        </w:rPr>
      </w:pPr>
    </w:p>
    <w:p w14:paraId="57CEB492" w14:textId="77777777" w:rsidR="00C17C8B" w:rsidRPr="00D56C99" w:rsidRDefault="00C17C8B" w:rsidP="00C17C8B">
      <w:pPr>
        <w:spacing w:line="240" w:lineRule="auto"/>
        <w:rPr>
          <w:lang w:val="de-DE"/>
        </w:rPr>
      </w:pPr>
      <w:proofErr w:type="spellStart"/>
      <w:r w:rsidRPr="00D56C99">
        <w:rPr>
          <w:lang w:val="de-DE"/>
        </w:rPr>
        <w:t>Kreditscoring</w:t>
      </w:r>
      <w:proofErr w:type="spellEnd"/>
      <w:r w:rsidRPr="00D56C99">
        <w:rPr>
          <w:lang w:val="de-DE"/>
        </w:rPr>
        <w:t>: von Auskunfteien zu künstlicher Intelligenz</w:t>
      </w:r>
    </w:p>
    <w:p w14:paraId="2FF23030" w14:textId="77777777" w:rsidR="00C17C8B" w:rsidRPr="00F656D0" w:rsidRDefault="00C17C8B" w:rsidP="00C17C8B">
      <w:pPr>
        <w:spacing w:line="240" w:lineRule="auto"/>
      </w:pPr>
      <w:r w:rsidRPr="00F656D0">
        <w:t>(</w:t>
      </w:r>
      <w:proofErr w:type="spellStart"/>
      <w:r w:rsidRPr="00F656D0">
        <w:t>Creditscoring</w:t>
      </w:r>
      <w:proofErr w:type="spellEnd"/>
      <w:r>
        <w:t>: from credit bureaus to artificial intelligence)</w:t>
      </w:r>
    </w:p>
    <w:p w14:paraId="792F7188" w14:textId="77777777" w:rsidR="00C17C8B" w:rsidRPr="00F656D0" w:rsidRDefault="00C17C8B" w:rsidP="00C17C8B">
      <w:pPr>
        <w:spacing w:line="240" w:lineRule="auto"/>
      </w:pPr>
      <w:r w:rsidRPr="00F656D0">
        <w:t xml:space="preserve">Co-authored with </w:t>
      </w:r>
      <w:r w:rsidRPr="00F656D0">
        <w:rPr>
          <w:i/>
          <w:iCs/>
        </w:rPr>
        <w:t xml:space="preserve">J. </w:t>
      </w:r>
      <w:proofErr w:type="spellStart"/>
      <w:r w:rsidRPr="00F656D0">
        <w:rPr>
          <w:i/>
          <w:iCs/>
        </w:rPr>
        <w:t>Adolff</w:t>
      </w:r>
      <w:proofErr w:type="spellEnd"/>
    </w:p>
    <w:p w14:paraId="2C237547" w14:textId="69193C14" w:rsidR="00C17C8B" w:rsidRPr="00872912" w:rsidRDefault="00C17C8B" w:rsidP="00C17C8B">
      <w:pPr>
        <w:spacing w:line="240" w:lineRule="auto"/>
      </w:pPr>
      <w:r w:rsidRPr="00872912">
        <w:t xml:space="preserve">In: Liber </w:t>
      </w:r>
      <w:proofErr w:type="spellStart"/>
      <w:r w:rsidRPr="00872912">
        <w:t>amicorum</w:t>
      </w:r>
      <w:proofErr w:type="spellEnd"/>
      <w:r w:rsidRPr="00872912">
        <w:t xml:space="preserve"> Krieger, 2020, pp. 1-14</w:t>
      </w:r>
    </w:p>
    <w:p w14:paraId="6756FCD5" w14:textId="77777777" w:rsidR="00C17C8B" w:rsidRPr="00872912" w:rsidRDefault="00C17C8B" w:rsidP="00C17C8B">
      <w:pPr>
        <w:spacing w:line="240" w:lineRule="auto"/>
      </w:pPr>
    </w:p>
    <w:p w14:paraId="1E73CF39" w14:textId="77777777" w:rsidR="00C17C8B" w:rsidRPr="00C17C8B" w:rsidRDefault="00C17C8B" w:rsidP="00C17C8B">
      <w:pPr>
        <w:spacing w:line="240" w:lineRule="auto"/>
        <w:rPr>
          <w:b/>
          <w:bCs/>
        </w:rPr>
      </w:pPr>
      <w:r w:rsidRPr="00C17C8B">
        <w:rPr>
          <w:b/>
          <w:bCs/>
        </w:rPr>
        <w:t>The High Level Forum Report on the European Capital Market Union</w:t>
      </w:r>
    </w:p>
    <w:p w14:paraId="5BE18B8E" w14:textId="52712B37" w:rsidR="00C17C8B" w:rsidRDefault="00C17C8B" w:rsidP="00C17C8B">
      <w:pPr>
        <w:spacing w:line="240" w:lineRule="auto"/>
      </w:pPr>
      <w:r>
        <w:t>European Company an</w:t>
      </w:r>
      <w:r w:rsidR="005A4073">
        <w:t>d Financial Law Review 2020, pp.</w:t>
      </w:r>
      <w:r>
        <w:t xml:space="preserve"> 601-618</w:t>
      </w:r>
    </w:p>
    <w:p w14:paraId="1FD56BD5" w14:textId="59969C6D" w:rsidR="00A3237C" w:rsidRDefault="00A3237C" w:rsidP="00C17C8B">
      <w:pPr>
        <w:spacing w:line="240" w:lineRule="auto"/>
      </w:pPr>
    </w:p>
    <w:p w14:paraId="01FBD778" w14:textId="28E8ECE5" w:rsidR="00A3237C" w:rsidRDefault="00A3237C" w:rsidP="00C17C8B">
      <w:pPr>
        <w:spacing w:line="240" w:lineRule="auto"/>
        <w:rPr>
          <w:lang w:val="de-DE"/>
        </w:rPr>
      </w:pPr>
      <w:r w:rsidRPr="00A3237C">
        <w:rPr>
          <w:lang w:val="de-DE"/>
        </w:rPr>
        <w:t xml:space="preserve">Thesen zur Stärkung der Corporate Governance aus Anlass des </w:t>
      </w:r>
      <w:proofErr w:type="spellStart"/>
      <w:r w:rsidRPr="00A3237C">
        <w:rPr>
          <w:lang w:val="de-DE"/>
        </w:rPr>
        <w:t>wirecard</w:t>
      </w:r>
      <w:proofErr w:type="spellEnd"/>
      <w:r w:rsidRPr="00A3237C">
        <w:rPr>
          <w:lang w:val="de-DE"/>
        </w:rPr>
        <w:t xml:space="preserve"> Falles</w:t>
      </w:r>
    </w:p>
    <w:p w14:paraId="537022D9" w14:textId="77777777" w:rsidR="00A3237C" w:rsidRDefault="00A3237C" w:rsidP="00C17C8B">
      <w:pPr>
        <w:spacing w:line="240" w:lineRule="auto"/>
      </w:pPr>
      <w:r w:rsidRPr="00A3237C">
        <w:t xml:space="preserve">(On strengthening corporate governance </w:t>
      </w:r>
      <w:r>
        <w:t>–</w:t>
      </w:r>
      <w:r w:rsidRPr="00A3237C">
        <w:t xml:space="preserve"> rema</w:t>
      </w:r>
      <w:r>
        <w:t xml:space="preserve">rks on </w:t>
      </w:r>
      <w:proofErr w:type="spellStart"/>
      <w:r>
        <w:t>wirecard</w:t>
      </w:r>
      <w:proofErr w:type="spellEnd"/>
      <w:r>
        <w:t>)</w:t>
      </w:r>
    </w:p>
    <w:p w14:paraId="7F0093D8" w14:textId="460742C8" w:rsidR="00A3237C" w:rsidRDefault="00A3237C" w:rsidP="00C17C8B">
      <w:pPr>
        <w:spacing w:line="240" w:lineRule="auto"/>
        <w:rPr>
          <w:lang w:val="de-DE"/>
        </w:rPr>
      </w:pPr>
      <w:r>
        <w:rPr>
          <w:lang w:val="de-DE"/>
        </w:rPr>
        <w:t>Co-</w:t>
      </w:r>
      <w:proofErr w:type="spellStart"/>
      <w:r>
        <w:rPr>
          <w:lang w:val="de-DE"/>
        </w:rPr>
        <w:t>authored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Hennrichs</w:t>
      </w:r>
      <w:proofErr w:type="spellEnd"/>
      <w:r>
        <w:rPr>
          <w:lang w:val="de-DE"/>
        </w:rPr>
        <w:t xml:space="preserve">, Pellens, </w:t>
      </w:r>
      <w:proofErr w:type="spellStart"/>
      <w:r>
        <w:rPr>
          <w:lang w:val="de-DE"/>
        </w:rPr>
        <w:t>d’Arcy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Fülbier</w:t>
      </w:r>
      <w:proofErr w:type="spellEnd"/>
      <w:r>
        <w:rPr>
          <w:lang w:val="de-DE"/>
        </w:rPr>
        <w:t xml:space="preserve">, Hommelhoff, C. Koch, J. Koch, Merkt, Müller, </w:t>
      </w:r>
      <w:proofErr w:type="spellStart"/>
      <w:r>
        <w:rPr>
          <w:lang w:val="de-DE"/>
        </w:rPr>
        <w:t>Pöschke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Sellhorn</w:t>
      </w:r>
      <w:proofErr w:type="spellEnd"/>
    </w:p>
    <w:p w14:paraId="106FADF5" w14:textId="41DF2706" w:rsidR="00A3237C" w:rsidRPr="00A3237C" w:rsidRDefault="00A3237C" w:rsidP="00C17C8B">
      <w:pPr>
        <w:spacing w:line="240" w:lineRule="auto"/>
        <w:rPr>
          <w:rFonts w:cstheme="minorHAnsi"/>
          <w:lang w:val="de-DE"/>
        </w:rPr>
      </w:pPr>
      <w:r>
        <w:rPr>
          <w:lang w:val="de-DE"/>
        </w:rPr>
        <w:t>DB 2021, 550</w:t>
      </w:r>
    </w:p>
    <w:p w14:paraId="30CF2DBC" w14:textId="15B4FF10" w:rsidR="00BF52D7" w:rsidRDefault="00BF52D7" w:rsidP="00BF52D7">
      <w:pPr>
        <w:spacing w:line="240" w:lineRule="auto"/>
        <w:rPr>
          <w:lang w:val="fr-FR"/>
        </w:rPr>
      </w:pPr>
    </w:p>
    <w:p w14:paraId="1BF959EB" w14:textId="77777777" w:rsidR="00B079F3" w:rsidRPr="00D56C99" w:rsidRDefault="00B079F3" w:rsidP="00B079F3">
      <w:pPr>
        <w:spacing w:line="240" w:lineRule="auto"/>
        <w:rPr>
          <w:lang w:val="de-DE"/>
        </w:rPr>
      </w:pPr>
      <w:r w:rsidRPr="00D56C99">
        <w:rPr>
          <w:lang w:val="de-DE"/>
        </w:rPr>
        <w:t>Rechtliche Grundlagen der Investor Relations und Finanzkommunikation (</w:t>
      </w:r>
      <w:proofErr w:type="spellStart"/>
      <w:r w:rsidRPr="00D56C99">
        <w:rPr>
          <w:lang w:val="de-DE"/>
        </w:rPr>
        <w:t>with</w:t>
      </w:r>
      <w:proofErr w:type="spellEnd"/>
      <w:r w:rsidRPr="00D56C99">
        <w:rPr>
          <w:lang w:val="de-DE"/>
        </w:rPr>
        <w:t xml:space="preserve"> </w:t>
      </w:r>
      <w:r w:rsidRPr="00D56C99">
        <w:rPr>
          <w:i/>
          <w:lang w:val="de-DE"/>
        </w:rPr>
        <w:t xml:space="preserve">P. </w:t>
      </w:r>
      <w:proofErr w:type="spellStart"/>
      <w:r w:rsidRPr="00D56C99">
        <w:rPr>
          <w:i/>
          <w:lang w:val="de-DE"/>
        </w:rPr>
        <w:t>Rataj</w:t>
      </w:r>
      <w:proofErr w:type="spellEnd"/>
      <w:r w:rsidRPr="00D56C99">
        <w:rPr>
          <w:i/>
          <w:lang w:val="de-DE"/>
        </w:rPr>
        <w:t xml:space="preserve"> </w:t>
      </w:r>
      <w:r w:rsidRPr="00D56C99">
        <w:rPr>
          <w:lang w:val="de-DE"/>
        </w:rPr>
        <w:t xml:space="preserve">und </w:t>
      </w:r>
      <w:r w:rsidRPr="00D56C99">
        <w:rPr>
          <w:i/>
          <w:lang w:val="de-DE"/>
        </w:rPr>
        <w:t>L. Vossen</w:t>
      </w:r>
      <w:r w:rsidRPr="00D56C99">
        <w:rPr>
          <w:lang w:val="de-DE"/>
        </w:rPr>
        <w:t>)</w:t>
      </w:r>
    </w:p>
    <w:p w14:paraId="47FB3A74" w14:textId="77777777" w:rsidR="00B079F3" w:rsidRPr="004B100D" w:rsidRDefault="00B079F3" w:rsidP="00B079F3">
      <w:pPr>
        <w:spacing w:line="240" w:lineRule="auto"/>
      </w:pPr>
      <w:r w:rsidRPr="004B100D">
        <w:t>(Legal principles of investor relations and financial communication</w:t>
      </w:r>
      <w:r>
        <w:t>)</w:t>
      </w:r>
    </w:p>
    <w:p w14:paraId="5BA9CBB9" w14:textId="503D6274" w:rsidR="00B079F3" w:rsidRDefault="00B079F3" w:rsidP="00B079F3">
      <w:pPr>
        <w:spacing w:line="240" w:lineRule="auto"/>
        <w:rPr>
          <w:rFonts w:eastAsia="Times New Roman"/>
          <w:lang w:val="de-DE"/>
        </w:rPr>
      </w:pPr>
      <w:r w:rsidRPr="00D56C99">
        <w:rPr>
          <w:lang w:val="de-DE"/>
        </w:rPr>
        <w:t>in: Hoffmann/</w:t>
      </w:r>
      <w:proofErr w:type="spellStart"/>
      <w:r w:rsidRPr="00D56C99">
        <w:rPr>
          <w:rFonts w:eastAsia="Times New Roman"/>
          <w:lang w:val="de-DE"/>
        </w:rPr>
        <w:t>Schiereck</w:t>
      </w:r>
      <w:proofErr w:type="spellEnd"/>
      <w:r w:rsidRPr="00D56C99">
        <w:rPr>
          <w:rFonts w:eastAsia="Times New Roman"/>
          <w:lang w:val="de-DE"/>
        </w:rPr>
        <w:t>/</w:t>
      </w:r>
      <w:proofErr w:type="spellStart"/>
      <w:r w:rsidRPr="00D56C99">
        <w:rPr>
          <w:rFonts w:eastAsia="Times New Roman"/>
          <w:lang w:val="de-DE"/>
        </w:rPr>
        <w:t>Zerfaß</w:t>
      </w:r>
      <w:proofErr w:type="spellEnd"/>
      <w:r w:rsidRPr="00D56C99">
        <w:rPr>
          <w:rFonts w:eastAsia="Times New Roman"/>
          <w:lang w:val="de-DE"/>
        </w:rPr>
        <w:t>, Handbuch Investor Relations und Finanzkommunikation</w:t>
      </w:r>
      <w:r>
        <w:rPr>
          <w:rFonts w:eastAsia="Times New Roman"/>
          <w:lang w:val="de-DE"/>
        </w:rPr>
        <w:t xml:space="preserve">, </w:t>
      </w:r>
      <w:r w:rsidRPr="00D56C99">
        <w:rPr>
          <w:rFonts w:eastAsia="Times New Roman"/>
          <w:lang w:val="de-DE"/>
        </w:rPr>
        <w:t>2020</w:t>
      </w:r>
    </w:p>
    <w:p w14:paraId="5DF6D767" w14:textId="1F5AAF2F" w:rsidR="00B079F3" w:rsidRDefault="00B079F3" w:rsidP="00B079F3">
      <w:pPr>
        <w:spacing w:line="240" w:lineRule="auto"/>
        <w:rPr>
          <w:rFonts w:eastAsia="Times New Roman"/>
          <w:lang w:val="de-DE"/>
        </w:rPr>
      </w:pPr>
    </w:p>
    <w:p w14:paraId="0701652F" w14:textId="3C0487D0" w:rsidR="006D5194" w:rsidRDefault="006D5194" w:rsidP="006D5194">
      <w:pPr>
        <w:adjustRightInd w:val="0"/>
        <w:snapToGrid w:val="0"/>
        <w:spacing w:line="240" w:lineRule="auto"/>
        <w:rPr>
          <w:szCs w:val="24"/>
          <w:lang w:val="de-DE"/>
        </w:rPr>
      </w:pPr>
      <w:r w:rsidRPr="00F02716">
        <w:rPr>
          <w:szCs w:val="24"/>
          <w:lang w:val="de-DE"/>
        </w:rPr>
        <w:t>Aktionärs- und Investorenkommunikation als Governance In</w:t>
      </w:r>
      <w:r>
        <w:rPr>
          <w:szCs w:val="24"/>
          <w:lang w:val="de-DE"/>
        </w:rPr>
        <w:t>strument</w:t>
      </w:r>
    </w:p>
    <w:p w14:paraId="14DB028B" w14:textId="6545DCD4" w:rsidR="006D5194" w:rsidRPr="006D5194" w:rsidRDefault="006D5194" w:rsidP="006D5194">
      <w:pPr>
        <w:adjustRightInd w:val="0"/>
        <w:snapToGrid w:val="0"/>
        <w:spacing w:line="240" w:lineRule="auto"/>
        <w:rPr>
          <w:szCs w:val="24"/>
        </w:rPr>
      </w:pPr>
      <w:r w:rsidRPr="006D5194">
        <w:rPr>
          <w:szCs w:val="24"/>
        </w:rPr>
        <w:t>(Shareholder and investor communication as a corporate governance instrument)</w:t>
      </w:r>
    </w:p>
    <w:p w14:paraId="5B9377F1" w14:textId="77777777" w:rsidR="006D5194" w:rsidRDefault="006D5194" w:rsidP="006D5194">
      <w:pPr>
        <w:adjustRightInd w:val="0"/>
        <w:snapToGrid w:val="0"/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ZHR 2021, 414</w:t>
      </w:r>
    </w:p>
    <w:p w14:paraId="436D3769" w14:textId="77777777" w:rsidR="006D5194" w:rsidRDefault="006D5194" w:rsidP="006D5194">
      <w:pPr>
        <w:adjustRightInd w:val="0"/>
        <w:snapToGrid w:val="0"/>
        <w:spacing w:line="240" w:lineRule="auto"/>
        <w:rPr>
          <w:szCs w:val="24"/>
          <w:lang w:val="de-DE"/>
        </w:rPr>
      </w:pPr>
    </w:p>
    <w:p w14:paraId="4FF38F56" w14:textId="4435A767" w:rsidR="006D5194" w:rsidRDefault="006D5194" w:rsidP="006D5194">
      <w:pPr>
        <w:adjustRightInd w:val="0"/>
        <w:snapToGrid w:val="0"/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Die </w:t>
      </w:r>
      <w:proofErr w:type="spellStart"/>
      <w:r>
        <w:rPr>
          <w:i/>
          <w:iCs/>
          <w:szCs w:val="24"/>
          <w:lang w:val="de-DE"/>
        </w:rPr>
        <w:t>compliance</w:t>
      </w:r>
      <w:proofErr w:type="spellEnd"/>
      <w:r>
        <w:rPr>
          <w:szCs w:val="24"/>
          <w:lang w:val="de-DE"/>
        </w:rPr>
        <w:t xml:space="preserve"> Weisung des § 13 Abs. 2 </w:t>
      </w:r>
      <w:proofErr w:type="spellStart"/>
      <w:r>
        <w:rPr>
          <w:szCs w:val="24"/>
          <w:lang w:val="de-DE"/>
        </w:rPr>
        <w:t>VerSanG</w:t>
      </w:r>
      <w:proofErr w:type="spellEnd"/>
      <w:r>
        <w:rPr>
          <w:szCs w:val="24"/>
          <w:lang w:val="de-DE"/>
        </w:rPr>
        <w:t>-E</w:t>
      </w:r>
    </w:p>
    <w:p w14:paraId="5963F3F5" w14:textId="23129FDA" w:rsidR="006D5194" w:rsidRPr="006D5194" w:rsidRDefault="006D5194" w:rsidP="006D5194">
      <w:pPr>
        <w:adjustRightInd w:val="0"/>
        <w:snapToGrid w:val="0"/>
        <w:spacing w:line="240" w:lineRule="auto"/>
        <w:rPr>
          <w:szCs w:val="24"/>
        </w:rPr>
      </w:pPr>
      <w:r w:rsidRPr="006D5194">
        <w:rPr>
          <w:szCs w:val="24"/>
        </w:rPr>
        <w:t>(Compliance and corporate criminal law)</w:t>
      </w:r>
    </w:p>
    <w:p w14:paraId="74FF7391" w14:textId="21FC3304" w:rsidR="006D5194" w:rsidRPr="00BE470B" w:rsidRDefault="00F81781" w:rsidP="006D5194">
      <w:pPr>
        <w:adjustRightInd w:val="0"/>
        <w:snapToGrid w:val="0"/>
        <w:spacing w:line="240" w:lineRule="auto"/>
        <w:rPr>
          <w:szCs w:val="24"/>
        </w:rPr>
      </w:pPr>
      <w:r>
        <w:rPr>
          <w:szCs w:val="24"/>
        </w:rPr>
        <w:t xml:space="preserve">in: </w:t>
      </w:r>
      <w:r w:rsidR="006D5194" w:rsidRPr="00BE470B">
        <w:rPr>
          <w:szCs w:val="24"/>
        </w:rPr>
        <w:t xml:space="preserve">Liber </w:t>
      </w:r>
      <w:proofErr w:type="spellStart"/>
      <w:r w:rsidR="006D5194" w:rsidRPr="00BE470B">
        <w:rPr>
          <w:szCs w:val="24"/>
        </w:rPr>
        <w:t>Amicorum</w:t>
      </w:r>
      <w:proofErr w:type="spellEnd"/>
      <w:r w:rsidR="006D5194" w:rsidRPr="00BE470B">
        <w:rPr>
          <w:szCs w:val="24"/>
        </w:rPr>
        <w:t xml:space="preserve"> Grunewald, 2021, 611</w:t>
      </w:r>
    </w:p>
    <w:p w14:paraId="151BB9E0" w14:textId="63B6755A" w:rsidR="00B079F3" w:rsidRPr="00BE470B" w:rsidRDefault="00B079F3" w:rsidP="00B079F3">
      <w:pPr>
        <w:spacing w:line="240" w:lineRule="auto"/>
        <w:rPr>
          <w:rFonts w:eastAsia="Times New Roman"/>
        </w:rPr>
      </w:pPr>
    </w:p>
    <w:p w14:paraId="48778FE4" w14:textId="77777777" w:rsidR="006D5194" w:rsidRPr="000E4C83" w:rsidRDefault="006D5194" w:rsidP="006D5194">
      <w:pPr>
        <w:spacing w:line="240" w:lineRule="auto"/>
        <w:rPr>
          <w:b/>
        </w:rPr>
      </w:pPr>
      <w:bookmarkStart w:id="0" w:name="_GoBack"/>
      <w:proofErr w:type="spellStart"/>
      <w:r w:rsidRPr="000E4C83">
        <w:rPr>
          <w:b/>
        </w:rPr>
        <w:t>BaFin</w:t>
      </w:r>
      <w:proofErr w:type="spellEnd"/>
      <w:r w:rsidRPr="000E4C83">
        <w:rPr>
          <w:b/>
        </w:rPr>
        <w:t xml:space="preserve"> (in)dependence – A reform proposal</w:t>
      </w:r>
    </w:p>
    <w:bookmarkEnd w:id="0"/>
    <w:p w14:paraId="2DD8066E" w14:textId="77777777" w:rsidR="006D5194" w:rsidRPr="00BE470B" w:rsidRDefault="006D5194" w:rsidP="006D5194">
      <w:pPr>
        <w:spacing w:line="240" w:lineRule="auto"/>
      </w:pPr>
      <w:r w:rsidRPr="00BE470B">
        <w:t>With Ann-</w:t>
      </w:r>
      <w:proofErr w:type="spellStart"/>
      <w:r w:rsidRPr="00BE470B">
        <w:t>Katrin</w:t>
      </w:r>
      <w:proofErr w:type="spellEnd"/>
      <w:r w:rsidRPr="00BE470B">
        <w:t xml:space="preserve"> </w:t>
      </w:r>
      <w:proofErr w:type="spellStart"/>
      <w:r w:rsidRPr="00BE470B">
        <w:t>Kaufhold</w:t>
      </w:r>
      <w:proofErr w:type="spellEnd"/>
      <w:r w:rsidRPr="00BE470B">
        <w:t xml:space="preserve">, Patrick Blank, Jan Pieter </w:t>
      </w:r>
      <w:proofErr w:type="spellStart"/>
      <w:r w:rsidRPr="00BE470B">
        <w:t>Krahnen</w:t>
      </w:r>
      <w:proofErr w:type="spellEnd"/>
    </w:p>
    <w:p w14:paraId="537B7351" w14:textId="77777777" w:rsidR="006D5194" w:rsidRPr="001563E3" w:rsidRDefault="006D5194" w:rsidP="006D5194">
      <w:pPr>
        <w:spacing w:line="240" w:lineRule="auto"/>
      </w:pPr>
      <w:r w:rsidRPr="001563E3">
        <w:t xml:space="preserve">SAFE White Paper No 82, </w:t>
      </w:r>
      <w:proofErr w:type="spellStart"/>
      <w:r w:rsidRPr="001563E3">
        <w:t>M</w:t>
      </w:r>
      <w:r>
        <w:t>ärz</w:t>
      </w:r>
      <w:proofErr w:type="spellEnd"/>
      <w:r w:rsidRPr="001563E3">
        <w:t xml:space="preserve"> </w:t>
      </w:r>
      <w:r>
        <w:t>2021</w:t>
      </w:r>
    </w:p>
    <w:p w14:paraId="69C0F9A0" w14:textId="2B35599A" w:rsidR="00B079F3" w:rsidRPr="006D5194" w:rsidRDefault="00B079F3" w:rsidP="00B079F3">
      <w:pPr>
        <w:spacing w:line="240" w:lineRule="auto"/>
        <w:rPr>
          <w:rFonts w:eastAsia="Times New Roman"/>
        </w:rPr>
      </w:pPr>
    </w:p>
    <w:p w14:paraId="10084549" w14:textId="77777777" w:rsidR="00A232ED" w:rsidRPr="00D56C99" w:rsidRDefault="00A232ED" w:rsidP="00A232ED">
      <w:pPr>
        <w:spacing w:line="240" w:lineRule="auto"/>
        <w:rPr>
          <w:lang w:val="de-DE"/>
        </w:rPr>
      </w:pPr>
      <w:r w:rsidRPr="00D56C99">
        <w:rPr>
          <w:lang w:val="de-DE"/>
        </w:rPr>
        <w:t>Besitzeffekte –</w:t>
      </w:r>
      <w:r>
        <w:rPr>
          <w:lang w:val="de-DE"/>
        </w:rPr>
        <w:t xml:space="preserve"> ein methodisches Lehrstück zu transdisziplinären Klischees</w:t>
      </w:r>
    </w:p>
    <w:p w14:paraId="2856CB2D" w14:textId="77777777" w:rsidR="00A232ED" w:rsidRPr="003026A1" w:rsidRDefault="00A232ED" w:rsidP="00A232ED">
      <w:pPr>
        <w:spacing w:line="240" w:lineRule="auto"/>
      </w:pPr>
      <w:r w:rsidRPr="003026A1">
        <w:t xml:space="preserve">(Endowment effects </w:t>
      </w:r>
      <w:r>
        <w:t>–</w:t>
      </w:r>
      <w:r w:rsidRPr="003026A1">
        <w:t xml:space="preserve"> </w:t>
      </w:r>
      <w:r>
        <w:t>a methodological illustration of transdisciplinary clichés)</w:t>
      </w:r>
    </w:p>
    <w:p w14:paraId="38BB20B1" w14:textId="0B326EBA" w:rsidR="00B079F3" w:rsidRPr="00A232ED" w:rsidRDefault="00A232ED" w:rsidP="00B079F3">
      <w:pPr>
        <w:spacing w:line="240" w:lineRule="auto"/>
        <w:rPr>
          <w:lang w:val="de-DE"/>
        </w:rPr>
      </w:pPr>
      <w:r w:rsidRPr="00D56C99">
        <w:rPr>
          <w:lang w:val="de-DE"/>
        </w:rPr>
        <w:t>in: Liber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Amicorum</w:t>
      </w:r>
      <w:proofErr w:type="spellEnd"/>
      <w:r>
        <w:rPr>
          <w:lang w:val="de-DE"/>
        </w:rPr>
        <w:t xml:space="preserve"> Böcking, 2021, 145</w:t>
      </w:r>
    </w:p>
    <w:p w14:paraId="6816BF68" w14:textId="77777777" w:rsidR="00A232ED" w:rsidRPr="00BE470B" w:rsidRDefault="00A232ED" w:rsidP="00B079F3">
      <w:pPr>
        <w:spacing w:line="240" w:lineRule="auto"/>
        <w:rPr>
          <w:rFonts w:eastAsia="Times New Roman"/>
          <w:lang w:val="de-DE"/>
        </w:rPr>
      </w:pPr>
    </w:p>
    <w:p w14:paraId="61F8ABD5" w14:textId="77777777" w:rsidR="00F81781" w:rsidRDefault="00F81781" w:rsidP="00F81781">
      <w:pPr>
        <w:spacing w:line="240" w:lineRule="auto"/>
        <w:rPr>
          <w:lang w:val="de-DE"/>
        </w:rPr>
      </w:pPr>
      <w:r w:rsidRPr="00B03D2A">
        <w:rPr>
          <w:lang w:val="de-DE"/>
        </w:rPr>
        <w:t xml:space="preserve">Zur Architektur der Kontrolle </w:t>
      </w:r>
      <w:r>
        <w:rPr>
          <w:lang w:val="de-DE"/>
        </w:rPr>
        <w:t xml:space="preserve">von Aktiengesellschaften von öffentlichem Interesse – eine Überlegung zu </w:t>
      </w:r>
      <w:proofErr w:type="spellStart"/>
      <w:r>
        <w:rPr>
          <w:lang w:val="de-DE"/>
        </w:rPr>
        <w:t>Wirecard</w:t>
      </w:r>
      <w:proofErr w:type="spellEnd"/>
    </w:p>
    <w:p w14:paraId="1BE4FE25" w14:textId="56683E17" w:rsidR="00F81781" w:rsidRPr="00E62D2C" w:rsidRDefault="00F81781" w:rsidP="00F81781">
      <w:pPr>
        <w:spacing w:line="240" w:lineRule="auto"/>
      </w:pPr>
      <w:r>
        <w:t>I</w:t>
      </w:r>
      <w:r w:rsidRPr="00E62D2C">
        <w:t xml:space="preserve">n: </w:t>
      </w:r>
      <w:r w:rsidRPr="00BE470B">
        <w:rPr>
          <w:szCs w:val="24"/>
        </w:rPr>
        <w:t xml:space="preserve">Liber </w:t>
      </w:r>
      <w:proofErr w:type="spellStart"/>
      <w:r w:rsidRPr="00BE470B">
        <w:rPr>
          <w:szCs w:val="24"/>
        </w:rPr>
        <w:t>Amicorum</w:t>
      </w:r>
      <w:proofErr w:type="spellEnd"/>
      <w:r w:rsidRPr="00BE470B">
        <w:rPr>
          <w:szCs w:val="24"/>
        </w:rPr>
        <w:t xml:space="preserve"> </w:t>
      </w:r>
      <w:r w:rsidRPr="00E62D2C">
        <w:t>Ebke, 2021</w:t>
      </w:r>
      <w:r>
        <w:t>, 573</w:t>
      </w:r>
    </w:p>
    <w:p w14:paraId="27255DF7" w14:textId="332E4825" w:rsidR="007B30C2" w:rsidRDefault="007B30C2" w:rsidP="005D3AD5">
      <w:pPr>
        <w:spacing w:line="240" w:lineRule="auto"/>
        <w:rPr>
          <w:rFonts w:cstheme="minorHAnsi"/>
          <w:lang w:val="de-DE"/>
        </w:rPr>
      </w:pPr>
    </w:p>
    <w:p w14:paraId="03E5BB8A" w14:textId="77777777" w:rsidR="00B30C7C" w:rsidRDefault="00B30C7C" w:rsidP="005D3AD5">
      <w:pPr>
        <w:spacing w:line="240" w:lineRule="auto"/>
        <w:rPr>
          <w:rFonts w:cstheme="minorHAnsi"/>
          <w:lang w:val="de-DE"/>
        </w:rPr>
      </w:pPr>
    </w:p>
    <w:p w14:paraId="1F5859D4" w14:textId="77777777" w:rsidR="00B30C7C" w:rsidRPr="00BE470B" w:rsidRDefault="00B30C7C" w:rsidP="005D3AD5">
      <w:pPr>
        <w:spacing w:line="240" w:lineRule="auto"/>
        <w:rPr>
          <w:rFonts w:cstheme="minorHAnsi"/>
          <w:lang w:val="de-DE"/>
        </w:rPr>
      </w:pPr>
    </w:p>
    <w:p w14:paraId="2AF2C19C" w14:textId="77777777" w:rsidR="00B30C7C" w:rsidRPr="00E761AA" w:rsidRDefault="00B30C7C" w:rsidP="00B30C7C">
      <w:pPr>
        <w:spacing w:line="240" w:lineRule="auto"/>
        <w:rPr>
          <w:b/>
        </w:rPr>
      </w:pPr>
      <w:r w:rsidRPr="00E761AA">
        <w:rPr>
          <w:b/>
        </w:rPr>
        <w:lastRenderedPageBreak/>
        <w:t>Responsible AI Credit Scoring – A Lesson from Upstart.com</w:t>
      </w:r>
    </w:p>
    <w:p w14:paraId="18C2287F" w14:textId="2794D010" w:rsidR="00B30C7C" w:rsidRDefault="00B30C7C" w:rsidP="00E761AA">
      <w:pPr>
        <w:tabs>
          <w:tab w:val="left" w:pos="5760"/>
        </w:tabs>
        <w:spacing w:line="240" w:lineRule="auto"/>
      </w:pPr>
      <w:r>
        <w:t>Co-authored with: Patrick Corcoran</w:t>
      </w:r>
    </w:p>
    <w:p w14:paraId="46278357" w14:textId="72FE43BF" w:rsidR="00B30C7C" w:rsidRDefault="00B30C7C" w:rsidP="00B30C7C">
      <w:pPr>
        <w:spacing w:line="240" w:lineRule="auto"/>
      </w:pPr>
      <w:r w:rsidRPr="00A53EEC">
        <w:t>Digital Finance in Europe: Law, Regulation, and Governance</w:t>
      </w:r>
      <w:r>
        <w:t xml:space="preserve">, </w:t>
      </w:r>
      <w:r w:rsidRPr="001F0DAD">
        <w:t>European Company and Financial Law Review 2021</w:t>
      </w:r>
      <w:r>
        <w:t xml:space="preserve">, </w:t>
      </w:r>
      <w:r w:rsidRPr="00844FFF">
        <w:t>Special Volume 5</w:t>
      </w:r>
      <w:r w:rsidR="005A4073">
        <w:t>,</w:t>
      </w:r>
      <w:r w:rsidR="009D1384">
        <w:t xml:space="preserve"> pp</w:t>
      </w:r>
      <w:r>
        <w:t>. 141-179.</w:t>
      </w:r>
    </w:p>
    <w:p w14:paraId="3F81BDBB" w14:textId="397F34B2" w:rsidR="00A232ED" w:rsidRPr="00BE470B" w:rsidRDefault="00A232ED" w:rsidP="005D3AD5">
      <w:pPr>
        <w:spacing w:line="240" w:lineRule="auto"/>
        <w:rPr>
          <w:rFonts w:cstheme="minorHAnsi"/>
          <w:lang w:val="de-DE"/>
        </w:rPr>
      </w:pPr>
    </w:p>
    <w:p w14:paraId="60157045" w14:textId="77777777" w:rsidR="00A232ED" w:rsidRPr="00BE470B" w:rsidRDefault="00A232ED" w:rsidP="005D3AD5">
      <w:pPr>
        <w:spacing w:line="240" w:lineRule="auto"/>
        <w:rPr>
          <w:rFonts w:cstheme="minorHAnsi"/>
          <w:lang w:val="de-DE"/>
        </w:rPr>
      </w:pPr>
    </w:p>
    <w:p w14:paraId="12DA1C98" w14:textId="171A5194" w:rsidR="005D3AD5" w:rsidRPr="00872912" w:rsidRDefault="0021012D" w:rsidP="005D3AD5">
      <w:pPr>
        <w:spacing w:line="240" w:lineRule="auto"/>
        <w:rPr>
          <w:rFonts w:cstheme="minorHAnsi"/>
          <w:i/>
          <w:lang w:val="de-DE"/>
        </w:rPr>
      </w:pPr>
      <w:proofErr w:type="spellStart"/>
      <w:r w:rsidRPr="00872912">
        <w:rPr>
          <w:rFonts w:cstheme="minorHAnsi"/>
          <w:b/>
          <w:bCs/>
          <w:i/>
          <w:lang w:val="de-DE"/>
        </w:rPr>
        <w:t>Forthcoming</w:t>
      </w:r>
      <w:proofErr w:type="spellEnd"/>
    </w:p>
    <w:p w14:paraId="463D94E8" w14:textId="77777777" w:rsidR="00C17C8B" w:rsidRPr="004B0877" w:rsidRDefault="00C17C8B" w:rsidP="005D3AD5">
      <w:pPr>
        <w:spacing w:line="240" w:lineRule="auto"/>
        <w:rPr>
          <w:rFonts w:cstheme="minorHAnsi"/>
          <w:b/>
        </w:rPr>
      </w:pPr>
    </w:p>
    <w:p w14:paraId="2649FB7A" w14:textId="77777777" w:rsidR="009B75D7" w:rsidRPr="009B75D7" w:rsidRDefault="009B75D7" w:rsidP="009B75D7">
      <w:pPr>
        <w:spacing w:line="240" w:lineRule="auto"/>
        <w:rPr>
          <w:b/>
          <w:bCs/>
        </w:rPr>
      </w:pPr>
      <w:r w:rsidRPr="009B75D7">
        <w:rPr>
          <w:b/>
          <w:bCs/>
        </w:rPr>
        <w:t>AI Credit Scoring and Evaluation of Creditworthiness – A Test Case for the EU Proposal for an AI Act</w:t>
      </w:r>
    </w:p>
    <w:p w14:paraId="7F413AE7" w14:textId="2EBA04FA" w:rsidR="009B75D7" w:rsidRPr="00FC13D3" w:rsidRDefault="009B75D7" w:rsidP="009B75D7">
      <w:pPr>
        <w:spacing w:line="240" w:lineRule="auto"/>
      </w:pPr>
      <w:r>
        <w:t>Forthcoming</w:t>
      </w:r>
      <w:r w:rsidRPr="00FC13D3">
        <w:t xml:space="preserve"> in: EZB Proceedings/Legal Conference 2021</w:t>
      </w:r>
    </w:p>
    <w:p w14:paraId="29F48508" w14:textId="77777777" w:rsidR="005D3AD5" w:rsidRPr="00BE470B" w:rsidRDefault="005D3AD5" w:rsidP="005D3AD5">
      <w:pPr>
        <w:rPr>
          <w:rFonts w:cstheme="minorHAnsi"/>
        </w:rPr>
      </w:pPr>
    </w:p>
    <w:p w14:paraId="24A04C5D" w14:textId="77777777" w:rsidR="005D3AD5" w:rsidRPr="00D56C99" w:rsidRDefault="0021012D" w:rsidP="005D3AD5">
      <w:pPr>
        <w:pStyle w:val="berschrift2"/>
        <w:rPr>
          <w:lang w:val="de-DE"/>
        </w:rPr>
      </w:pPr>
      <w:r w:rsidRPr="00D56C99">
        <w:rPr>
          <w:lang w:val="de-DE"/>
        </w:rPr>
        <w:t>III</w:t>
      </w:r>
      <w:r w:rsidR="005D3AD5" w:rsidRPr="00D56C99">
        <w:rPr>
          <w:lang w:val="de-DE"/>
        </w:rPr>
        <w:t>. Varia</w:t>
      </w:r>
    </w:p>
    <w:p w14:paraId="349E5810" w14:textId="77777777" w:rsidR="005D3AD5" w:rsidRPr="00D56C99" w:rsidRDefault="005D3AD5" w:rsidP="005D3AD5">
      <w:pPr>
        <w:keepNext/>
        <w:keepLines/>
        <w:spacing w:line="240" w:lineRule="auto"/>
        <w:rPr>
          <w:bCs/>
          <w:lang w:val="de-DE"/>
        </w:rPr>
      </w:pPr>
    </w:p>
    <w:p w14:paraId="39A53435" w14:textId="77777777" w:rsidR="005D3AD5" w:rsidRPr="00D56C99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Risikohaftung und Schutzpflichten im innerbetrieblichen Schadensausgleich</w:t>
      </w:r>
    </w:p>
    <w:p w14:paraId="11D0994B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</w:rPr>
        <w:t xml:space="preserve">(Risk allocation and duties to protect employees in </w:t>
      </w:r>
      <w:r w:rsidRPr="004F0119">
        <w:rPr>
          <w:bCs/>
          <w:lang w:val="en-GB"/>
        </w:rPr>
        <w:t>employers</w:t>
      </w:r>
      <w:r>
        <w:rPr>
          <w:bCs/>
          <w:lang w:val="en-GB"/>
        </w:rPr>
        <w:t>’</w:t>
      </w:r>
      <w:r w:rsidRPr="004F0119">
        <w:rPr>
          <w:bCs/>
          <w:lang w:val="en-GB"/>
        </w:rPr>
        <w:t xml:space="preserve"> liability cases)</w:t>
      </w:r>
    </w:p>
    <w:p w14:paraId="0A958307" w14:textId="77777777" w:rsidR="005D3AD5" w:rsidRPr="004F0119" w:rsidRDefault="005D3AD5" w:rsidP="005D3AD5">
      <w:pPr>
        <w:spacing w:line="240" w:lineRule="auto"/>
        <w:rPr>
          <w:bCs/>
          <w:lang w:val="it-IT"/>
        </w:rPr>
      </w:pPr>
      <w:proofErr w:type="spellStart"/>
      <w:r w:rsidRPr="004F0119">
        <w:rPr>
          <w:bCs/>
          <w:lang w:val="it-IT"/>
        </w:rPr>
        <w:t>ZfA</w:t>
      </w:r>
      <w:proofErr w:type="spellEnd"/>
      <w:r w:rsidRPr="004F0119">
        <w:rPr>
          <w:bCs/>
          <w:lang w:val="it-IT"/>
        </w:rPr>
        <w:t xml:space="preserve"> 1997, </w:t>
      </w:r>
      <w:r>
        <w:rPr>
          <w:bCs/>
          <w:lang w:val="it-IT"/>
        </w:rPr>
        <w:t>p. </w:t>
      </w:r>
      <w:r w:rsidRPr="004F0119">
        <w:rPr>
          <w:bCs/>
          <w:lang w:val="it-IT"/>
        </w:rPr>
        <w:t>523</w:t>
      </w:r>
    </w:p>
    <w:p w14:paraId="24D06089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69143C10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Anmerkung zu BAG, Urt. v. 13.11.1997 – 8 AZR 295/95 (Wiedereinstellungsanspruch des Arbeitnehmers)</w:t>
      </w:r>
    </w:p>
    <w:p w14:paraId="485118E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(</w:t>
      </w:r>
      <w:proofErr w:type="spellStart"/>
      <w:r w:rsidRPr="00D56C99">
        <w:rPr>
          <w:bCs/>
          <w:lang w:val="de-DE"/>
        </w:rPr>
        <w:t>case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comment</w:t>
      </w:r>
      <w:proofErr w:type="spellEnd"/>
      <w:r w:rsidRPr="00D56C99">
        <w:rPr>
          <w:bCs/>
          <w:lang w:val="de-DE"/>
        </w:rPr>
        <w:t>)</w:t>
      </w:r>
    </w:p>
    <w:p w14:paraId="6A35A072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SAE 1998, p. 145</w:t>
      </w:r>
    </w:p>
    <w:p w14:paraId="265934A5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474561C0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Der Wiedereinstellungsanspruch des Arbeitnehmers beim Betriebsübergang</w:t>
      </w:r>
    </w:p>
    <w:p w14:paraId="4BC3EB59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</w:rPr>
        <w:t xml:space="preserve">(The right of the </w:t>
      </w:r>
      <w:r w:rsidRPr="004F0119">
        <w:rPr>
          <w:bCs/>
          <w:lang w:val="en-GB"/>
        </w:rPr>
        <w:t>employee to his work place after transfer of the company)</w:t>
      </w:r>
    </w:p>
    <w:p w14:paraId="3628A50D" w14:textId="77777777" w:rsidR="005D3AD5" w:rsidRPr="004F0119" w:rsidRDefault="005D3AD5" w:rsidP="005D3AD5">
      <w:pPr>
        <w:spacing w:line="240" w:lineRule="auto"/>
        <w:rPr>
          <w:bCs/>
          <w:lang w:val="it-IT"/>
        </w:rPr>
      </w:pPr>
      <w:proofErr w:type="spellStart"/>
      <w:r w:rsidRPr="004F0119">
        <w:rPr>
          <w:bCs/>
          <w:lang w:val="it-IT"/>
        </w:rPr>
        <w:t>ZfA</w:t>
      </w:r>
      <w:proofErr w:type="spellEnd"/>
      <w:r w:rsidRPr="004F0119">
        <w:rPr>
          <w:bCs/>
          <w:lang w:val="it-IT"/>
        </w:rPr>
        <w:t xml:space="preserve"> 1999, </w:t>
      </w:r>
      <w:r>
        <w:rPr>
          <w:bCs/>
          <w:lang w:val="it-IT"/>
        </w:rPr>
        <w:t>p. </w:t>
      </w:r>
      <w:r w:rsidRPr="004F0119">
        <w:rPr>
          <w:bCs/>
          <w:lang w:val="it-IT"/>
        </w:rPr>
        <w:t>299</w:t>
      </w:r>
    </w:p>
    <w:p w14:paraId="5050B6E4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43853A7F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Anmerkung zu BAG, Urt. v. 19.9.1998 – 2 AZR 725/97 (Soziale Auswahl bei der betriebsbedingten </w:t>
      </w:r>
      <w:r w:rsidRPr="00D56C99">
        <w:rPr>
          <w:lang w:val="de-DE"/>
        </w:rPr>
        <w:t>Kündigung</w:t>
      </w:r>
      <w:r w:rsidRPr="00D56C99">
        <w:rPr>
          <w:bCs/>
          <w:lang w:val="de-DE"/>
        </w:rPr>
        <w:t>)</w:t>
      </w:r>
    </w:p>
    <w:p w14:paraId="6921E2A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lang w:val="de-DE"/>
        </w:rPr>
        <w:t>(</w:t>
      </w:r>
      <w:proofErr w:type="spellStart"/>
      <w:r w:rsidRPr="00D56C99">
        <w:rPr>
          <w:lang w:val="de-DE"/>
        </w:rPr>
        <w:t>case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comment</w:t>
      </w:r>
      <w:proofErr w:type="spellEnd"/>
      <w:r w:rsidRPr="00D56C99">
        <w:rPr>
          <w:lang w:val="de-DE"/>
        </w:rPr>
        <w:t>)</w:t>
      </w:r>
    </w:p>
    <w:p w14:paraId="54018D5E" w14:textId="77777777" w:rsidR="005D3AD5" w:rsidRPr="00D56C99" w:rsidRDefault="005D3AD5" w:rsidP="005D3AD5">
      <w:pPr>
        <w:spacing w:line="240" w:lineRule="auto"/>
        <w:rPr>
          <w:lang w:val="de-DE"/>
        </w:rPr>
      </w:pPr>
      <w:r w:rsidRPr="00D56C99">
        <w:rPr>
          <w:bCs/>
          <w:lang w:val="de-DE"/>
        </w:rPr>
        <w:t xml:space="preserve">SAE </w:t>
      </w:r>
      <w:r w:rsidRPr="00D56C99">
        <w:rPr>
          <w:lang w:val="de-DE"/>
        </w:rPr>
        <w:t>1999, p. 44</w:t>
      </w:r>
    </w:p>
    <w:p w14:paraId="5A99216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3FA3F0A5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Klausur: Vertragsrechtliche Probleme des Franchisings</w:t>
      </w:r>
    </w:p>
    <w:p w14:paraId="0F53BD91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(Case on contractual problems of franchising)</w:t>
      </w:r>
    </w:p>
    <w:p w14:paraId="1A9C0C11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JuS 2003, p. 572</w:t>
      </w:r>
    </w:p>
    <w:p w14:paraId="6F8797F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3FDE4DAD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Grundfälle zum Recht der Gesellschaft mit beschränkter Haftung </w:t>
      </w:r>
    </w:p>
    <w:p w14:paraId="4E56C96D" w14:textId="77777777" w:rsidR="005D3AD5" w:rsidRPr="004F0119" w:rsidRDefault="005D3AD5" w:rsidP="005D3AD5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(Cases on the Law of the German company limited by shares)</w:t>
      </w:r>
    </w:p>
    <w:p w14:paraId="727A43CB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JuS 2004, p. 387, p. 478 </w:t>
      </w:r>
      <w:proofErr w:type="spellStart"/>
      <w:r w:rsidRPr="00D56C99">
        <w:rPr>
          <w:bCs/>
          <w:lang w:val="de-DE"/>
        </w:rPr>
        <w:t>and</w:t>
      </w:r>
      <w:proofErr w:type="spellEnd"/>
      <w:r w:rsidRPr="00D56C99">
        <w:rPr>
          <w:bCs/>
          <w:lang w:val="de-DE"/>
        </w:rPr>
        <w:t xml:space="preserve"> p. 581</w:t>
      </w:r>
    </w:p>
    <w:p w14:paraId="5787C3D9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0E71347A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Einführung in das Recht der Aktiengesellschaft</w:t>
      </w:r>
    </w:p>
    <w:p w14:paraId="27F6DB3A" w14:textId="77777777" w:rsidR="005D3AD5" w:rsidRPr="004F0119" w:rsidRDefault="005D3AD5" w:rsidP="005D3AD5">
      <w:pPr>
        <w:spacing w:line="240" w:lineRule="auto"/>
        <w:rPr>
          <w:bCs/>
        </w:rPr>
      </w:pPr>
      <w:r w:rsidRPr="004F0119">
        <w:rPr>
          <w:bCs/>
        </w:rPr>
        <w:t>(Cases on the Law of the German stock corporation)</w:t>
      </w:r>
    </w:p>
    <w:p w14:paraId="44450EAC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  <w:r w:rsidRPr="00D56C99">
        <w:rPr>
          <w:lang w:val="de-DE"/>
        </w:rPr>
        <w:t>Jura</w:t>
      </w:r>
      <w:r w:rsidRPr="00D56C99">
        <w:rPr>
          <w:bCs/>
          <w:lang w:val="de-DE"/>
        </w:rPr>
        <w:t xml:space="preserve"> 2004, p. 577</w:t>
      </w:r>
    </w:p>
    <w:p w14:paraId="2850A4B8" w14:textId="77777777" w:rsidR="005D3AD5" w:rsidRPr="00D56C99" w:rsidRDefault="005D3AD5" w:rsidP="005D3AD5">
      <w:pPr>
        <w:spacing w:line="240" w:lineRule="auto"/>
        <w:rPr>
          <w:bCs/>
          <w:lang w:val="de-DE"/>
        </w:rPr>
      </w:pPr>
    </w:p>
    <w:p w14:paraId="38CBDE37" w14:textId="77777777" w:rsidR="005D3AD5" w:rsidRPr="00D56C99" w:rsidRDefault="005D3AD5" w:rsidP="005D3AD5">
      <w:pPr>
        <w:keepNext/>
        <w:keepLines/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Zur Zulässigkeit der Direktliquidation im Dreipersonenverhältnis (</w:t>
      </w:r>
      <w:proofErr w:type="spellStart"/>
      <w:r w:rsidRPr="00D56C99">
        <w:rPr>
          <w:bCs/>
          <w:lang w:val="de-DE"/>
        </w:rPr>
        <w:t>with</w:t>
      </w:r>
      <w:proofErr w:type="spellEnd"/>
      <w:r w:rsidRPr="00D56C99">
        <w:rPr>
          <w:bCs/>
          <w:lang w:val="de-DE"/>
        </w:rPr>
        <w:t xml:space="preserve"> </w:t>
      </w:r>
      <w:r w:rsidRPr="00D56C99">
        <w:rPr>
          <w:bCs/>
          <w:i/>
          <w:lang w:val="de-DE"/>
        </w:rPr>
        <w:t xml:space="preserve">J. </w:t>
      </w:r>
      <w:proofErr w:type="spellStart"/>
      <w:r w:rsidRPr="00D56C99">
        <w:rPr>
          <w:bCs/>
          <w:i/>
          <w:lang w:val="de-DE"/>
        </w:rPr>
        <w:t>Adolff</w:t>
      </w:r>
      <w:proofErr w:type="spellEnd"/>
      <w:r w:rsidRPr="00D56C99">
        <w:rPr>
          <w:bCs/>
          <w:lang w:val="de-DE"/>
        </w:rPr>
        <w:t>)</w:t>
      </w:r>
    </w:p>
    <w:p w14:paraId="0018C6BD" w14:textId="77777777" w:rsidR="005D3AD5" w:rsidRPr="004F0119" w:rsidRDefault="005D3AD5" w:rsidP="005D3AD5">
      <w:pPr>
        <w:keepNext/>
        <w:keepLines/>
        <w:spacing w:line="240" w:lineRule="auto"/>
        <w:rPr>
          <w:bCs/>
          <w:lang w:val="en-GB"/>
        </w:rPr>
      </w:pPr>
      <w:r w:rsidRPr="004F0119">
        <w:rPr>
          <w:iCs/>
          <w:lang w:val="en-GB"/>
        </w:rPr>
        <w:t>(Contractual liability for third parties)</w:t>
      </w:r>
    </w:p>
    <w:p w14:paraId="518D0392" w14:textId="77777777" w:rsidR="005D3AD5" w:rsidRDefault="005D3AD5" w:rsidP="005D3AD5">
      <w:pPr>
        <w:keepNext/>
        <w:keepLines/>
        <w:spacing w:line="240" w:lineRule="auto"/>
        <w:rPr>
          <w:bCs/>
        </w:rPr>
      </w:pPr>
      <w:r w:rsidRPr="004F0119">
        <w:rPr>
          <w:bCs/>
        </w:rPr>
        <w:t xml:space="preserve">Liber </w:t>
      </w:r>
      <w:proofErr w:type="spellStart"/>
      <w:r w:rsidRPr="004F0119">
        <w:rPr>
          <w:bCs/>
        </w:rPr>
        <w:t>Amicorum</w:t>
      </w:r>
      <w:proofErr w:type="spellEnd"/>
      <w:r w:rsidRPr="004F0119">
        <w:rPr>
          <w:bCs/>
        </w:rPr>
        <w:t xml:space="preserve"> Claus-Wilhelm </w:t>
      </w:r>
      <w:proofErr w:type="spellStart"/>
      <w:r w:rsidRPr="004F0119">
        <w:rPr>
          <w:bCs/>
        </w:rPr>
        <w:t>Canaris</w:t>
      </w:r>
      <w:proofErr w:type="spellEnd"/>
      <w:r w:rsidRPr="004F0119">
        <w:rPr>
          <w:bCs/>
        </w:rPr>
        <w:t xml:space="preserve">, Munich 2007, </w:t>
      </w:r>
      <w:r>
        <w:rPr>
          <w:bCs/>
        </w:rPr>
        <w:t>p. </w:t>
      </w:r>
      <w:r w:rsidRPr="004F0119">
        <w:rPr>
          <w:bCs/>
        </w:rPr>
        <w:t>679</w:t>
      </w:r>
    </w:p>
    <w:p w14:paraId="29CED9C0" w14:textId="77777777" w:rsidR="005D3AD5" w:rsidRDefault="005D3AD5" w:rsidP="00A21C49"/>
    <w:p w14:paraId="7F845677" w14:textId="050571F5" w:rsidR="00C17C8B" w:rsidRDefault="00C17C8B">
      <w:pPr>
        <w:spacing w:after="160" w:line="259" w:lineRule="auto"/>
        <w:jc w:val="left"/>
      </w:pPr>
      <w:r>
        <w:br w:type="page"/>
      </w:r>
    </w:p>
    <w:p w14:paraId="12F60A85" w14:textId="77777777" w:rsidR="0021012D" w:rsidRPr="0021012D" w:rsidRDefault="0021012D" w:rsidP="00C17C8B">
      <w:pPr>
        <w:pStyle w:val="berschrift1"/>
        <w:ind w:left="0" w:firstLine="0"/>
        <w:rPr>
          <w:smallCaps w:val="0"/>
          <w:color w:val="0070C0"/>
          <w:sz w:val="28"/>
          <w:szCs w:val="28"/>
        </w:rPr>
      </w:pPr>
      <w:r w:rsidRPr="0021012D">
        <w:rPr>
          <w:smallCaps w:val="0"/>
          <w:color w:val="0070C0"/>
          <w:sz w:val="28"/>
          <w:szCs w:val="28"/>
        </w:rPr>
        <w:lastRenderedPageBreak/>
        <w:t>Published studies</w:t>
      </w:r>
    </w:p>
    <w:p w14:paraId="03FE4A64" w14:textId="77777777" w:rsidR="0021012D" w:rsidRPr="004F0119" w:rsidRDefault="0021012D" w:rsidP="0021012D">
      <w:pPr>
        <w:spacing w:line="240" w:lineRule="auto"/>
        <w:rPr>
          <w:bCs/>
        </w:rPr>
      </w:pPr>
    </w:p>
    <w:p w14:paraId="2877ADF9" w14:textId="7F8022CA" w:rsidR="00EC2814" w:rsidRPr="00C17C8B" w:rsidRDefault="00EC2814" w:rsidP="0021012D">
      <w:pPr>
        <w:spacing w:line="240" w:lineRule="auto"/>
        <w:rPr>
          <w:b/>
        </w:rPr>
      </w:pPr>
      <w:r w:rsidRPr="00C17C8B">
        <w:rPr>
          <w:b/>
        </w:rPr>
        <w:t xml:space="preserve">Briefing Report on </w:t>
      </w:r>
      <w:proofErr w:type="spellStart"/>
      <w:r w:rsidRPr="00C17C8B">
        <w:rPr>
          <w:b/>
        </w:rPr>
        <w:t>Wirecard</w:t>
      </w:r>
      <w:proofErr w:type="spellEnd"/>
    </w:p>
    <w:p w14:paraId="71C39D7D" w14:textId="60CA9969" w:rsidR="00EC2814" w:rsidRDefault="00EC2814" w:rsidP="0021012D">
      <w:pPr>
        <w:spacing w:line="240" w:lineRule="auto"/>
        <w:rPr>
          <w:bCs/>
        </w:rPr>
      </w:pPr>
      <w:r>
        <w:rPr>
          <w:bCs/>
        </w:rPr>
        <w:t>Study solicited by ECON/European Parliament, 2020</w:t>
      </w:r>
    </w:p>
    <w:p w14:paraId="536059B1" w14:textId="22EBFE25" w:rsidR="00EC2814" w:rsidRPr="00872912" w:rsidRDefault="00EC2814" w:rsidP="0021012D">
      <w:pPr>
        <w:spacing w:line="240" w:lineRule="auto"/>
        <w:rPr>
          <w:bCs/>
        </w:rPr>
      </w:pPr>
      <w:r w:rsidRPr="00872912">
        <w:rPr>
          <w:bCs/>
        </w:rPr>
        <w:t xml:space="preserve">(in cooperation with </w:t>
      </w:r>
      <w:proofErr w:type="spellStart"/>
      <w:r w:rsidRPr="00872912">
        <w:rPr>
          <w:bCs/>
          <w:i/>
          <w:iCs/>
        </w:rPr>
        <w:t>Krahnen</w:t>
      </w:r>
      <w:proofErr w:type="spellEnd"/>
      <w:r w:rsidRPr="00872912">
        <w:rPr>
          <w:bCs/>
          <w:i/>
          <w:iCs/>
        </w:rPr>
        <w:t>/</w:t>
      </w:r>
      <w:proofErr w:type="spellStart"/>
      <w:r w:rsidRPr="00872912">
        <w:rPr>
          <w:bCs/>
          <w:i/>
          <w:iCs/>
        </w:rPr>
        <w:t>Leuz</w:t>
      </w:r>
      <w:proofErr w:type="spellEnd"/>
      <w:r w:rsidRPr="00872912">
        <w:rPr>
          <w:bCs/>
          <w:i/>
          <w:iCs/>
        </w:rPr>
        <w:t>/</w:t>
      </w:r>
      <w:proofErr w:type="spellStart"/>
      <w:r w:rsidRPr="00872912">
        <w:rPr>
          <w:bCs/>
          <w:i/>
          <w:iCs/>
        </w:rPr>
        <w:t>Pelizzon</w:t>
      </w:r>
      <w:proofErr w:type="spellEnd"/>
      <w:r w:rsidRPr="00872912">
        <w:rPr>
          <w:bCs/>
        </w:rPr>
        <w:t>)</w:t>
      </w:r>
    </w:p>
    <w:p w14:paraId="00A8AD4E" w14:textId="77777777" w:rsidR="0021012D" w:rsidRPr="004F0119" w:rsidRDefault="0021012D" w:rsidP="0021012D">
      <w:pPr>
        <w:spacing w:line="240" w:lineRule="auto"/>
        <w:rPr>
          <w:bCs/>
        </w:rPr>
      </w:pPr>
    </w:p>
    <w:p w14:paraId="620D40A2" w14:textId="77777777" w:rsidR="0021012D" w:rsidRPr="004F0119" w:rsidRDefault="0021012D" w:rsidP="0021012D">
      <w:pPr>
        <w:spacing w:line="240" w:lineRule="auto"/>
        <w:rPr>
          <w:b/>
        </w:rPr>
      </w:pPr>
      <w:r w:rsidRPr="004F0119">
        <w:rPr>
          <w:b/>
        </w:rPr>
        <w:t>EU Mapping 2017: Systematic overview on economic and financial legislation</w:t>
      </w:r>
    </w:p>
    <w:p w14:paraId="317562A4" w14:textId="77777777" w:rsidR="0021012D" w:rsidRPr="004F0119" w:rsidRDefault="0021012D" w:rsidP="0021012D">
      <w:pPr>
        <w:spacing w:line="240" w:lineRule="auto"/>
      </w:pPr>
      <w:r>
        <w:t>(w</w:t>
      </w:r>
      <w:r w:rsidRPr="004F0119">
        <w:t xml:space="preserve">ith </w:t>
      </w:r>
      <w:proofErr w:type="spellStart"/>
      <w:r w:rsidRPr="004F0119">
        <w:rPr>
          <w:i/>
        </w:rPr>
        <w:t>Tröger</w:t>
      </w:r>
      <w:proofErr w:type="spellEnd"/>
      <w:r w:rsidRPr="004F0119">
        <w:rPr>
          <w:i/>
        </w:rPr>
        <w:t>/</w:t>
      </w:r>
      <w:proofErr w:type="spellStart"/>
      <w:r w:rsidRPr="004F0119">
        <w:rPr>
          <w:i/>
        </w:rPr>
        <w:t>Milione</w:t>
      </w:r>
      <w:proofErr w:type="spellEnd"/>
      <w:r w:rsidRPr="004F0119">
        <w:rPr>
          <w:i/>
        </w:rPr>
        <w:t>/Roth</w:t>
      </w:r>
      <w:r w:rsidRPr="00974EA6">
        <w:t>)</w:t>
      </w:r>
    </w:p>
    <w:p w14:paraId="7F560012" w14:textId="77777777" w:rsidR="0021012D" w:rsidRDefault="0021012D" w:rsidP="0021012D">
      <w:pPr>
        <w:spacing w:line="240" w:lineRule="auto"/>
      </w:pPr>
      <w:r w:rsidRPr="004F0119">
        <w:t>Solicited by: Committee on Economic and Monetary Affairs, European Parliament</w:t>
      </w:r>
    </w:p>
    <w:p w14:paraId="66A144D1" w14:textId="3DDD1C0C" w:rsidR="002C17FB" w:rsidRDefault="002C17FB" w:rsidP="0021012D">
      <w:pPr>
        <w:spacing w:line="240" w:lineRule="auto"/>
      </w:pPr>
    </w:p>
    <w:p w14:paraId="312F57DE" w14:textId="77777777" w:rsidR="00C17C8B" w:rsidRPr="004F0119" w:rsidRDefault="00C17C8B" w:rsidP="00C17C8B">
      <w:pPr>
        <w:spacing w:line="240" w:lineRule="auto"/>
        <w:rPr>
          <w:b/>
          <w:bCs/>
        </w:rPr>
      </w:pPr>
      <w:r w:rsidRPr="004F0119">
        <w:rPr>
          <w:b/>
          <w:bCs/>
        </w:rPr>
        <w:t>Gender balance on corporate boards</w:t>
      </w:r>
    </w:p>
    <w:p w14:paraId="004ABFDC" w14:textId="77777777" w:rsidR="00C17C8B" w:rsidRDefault="00C17C8B" w:rsidP="00C17C8B">
      <w:pPr>
        <w:spacing w:line="240" w:lineRule="auto"/>
        <w:rPr>
          <w:bCs/>
        </w:rPr>
      </w:pPr>
      <w:r w:rsidRPr="004F0119">
        <w:rPr>
          <w:bCs/>
        </w:rPr>
        <w:t>Study solicited by Policy Department C of the European Parliament, 2013</w:t>
      </w:r>
    </w:p>
    <w:p w14:paraId="24BE3CCD" w14:textId="77777777" w:rsidR="00C17C8B" w:rsidRDefault="00C17C8B" w:rsidP="0021012D">
      <w:pPr>
        <w:spacing w:line="240" w:lineRule="auto"/>
      </w:pPr>
    </w:p>
    <w:p w14:paraId="4D29B6FB" w14:textId="77777777" w:rsidR="00C17C8B" w:rsidRPr="00872912" w:rsidRDefault="00C17C8B" w:rsidP="00C17C8B">
      <w:pPr>
        <w:spacing w:line="240" w:lineRule="auto"/>
        <w:rPr>
          <w:bCs/>
        </w:rPr>
      </w:pPr>
      <w:proofErr w:type="spellStart"/>
      <w:r w:rsidRPr="00872912">
        <w:rPr>
          <w:bCs/>
        </w:rPr>
        <w:t>Messung</w:t>
      </w:r>
      <w:proofErr w:type="spellEnd"/>
      <w:r w:rsidRPr="00872912">
        <w:rPr>
          <w:bCs/>
        </w:rPr>
        <w:t xml:space="preserve"> des </w:t>
      </w:r>
      <w:proofErr w:type="spellStart"/>
      <w:r w:rsidRPr="00872912">
        <w:rPr>
          <w:bCs/>
        </w:rPr>
        <w:t>Kundennutzens</w:t>
      </w:r>
      <w:proofErr w:type="spellEnd"/>
      <w:r w:rsidRPr="00872912">
        <w:rPr>
          <w:bCs/>
        </w:rPr>
        <w:t xml:space="preserve"> der </w:t>
      </w:r>
      <w:proofErr w:type="spellStart"/>
      <w:r w:rsidRPr="00872912">
        <w:rPr>
          <w:bCs/>
        </w:rPr>
        <w:t>Anlageberatung</w:t>
      </w:r>
      <w:proofErr w:type="spellEnd"/>
      <w:r w:rsidRPr="00872912">
        <w:rPr>
          <w:bCs/>
        </w:rPr>
        <w:t xml:space="preserve"> </w:t>
      </w:r>
    </w:p>
    <w:p w14:paraId="545D9BD7" w14:textId="77777777" w:rsidR="00C17C8B" w:rsidRPr="004F0119" w:rsidRDefault="00C17C8B" w:rsidP="00C17C8B">
      <w:pPr>
        <w:spacing w:line="240" w:lineRule="auto"/>
        <w:rPr>
          <w:bCs/>
        </w:rPr>
      </w:pPr>
      <w:r w:rsidRPr="004F0119">
        <w:rPr>
          <w:bCs/>
        </w:rPr>
        <w:t>(How to measure profits of retail advice)</w:t>
      </w:r>
    </w:p>
    <w:p w14:paraId="26306D16" w14:textId="77777777" w:rsidR="00C17C8B" w:rsidRPr="004F0119" w:rsidRDefault="00C17C8B" w:rsidP="00C17C8B">
      <w:pPr>
        <w:spacing w:line="240" w:lineRule="auto"/>
        <w:rPr>
          <w:bCs/>
        </w:rPr>
      </w:pPr>
      <w:r w:rsidRPr="004F0119">
        <w:rPr>
          <w:bCs/>
        </w:rPr>
        <w:t>Study solicited by the German Ministry for Food, Agriculture and Consumer Protection (BMELV), 2011</w:t>
      </w:r>
    </w:p>
    <w:p w14:paraId="2AD5A0A3" w14:textId="77777777" w:rsidR="00C17C8B" w:rsidRPr="004F0119" w:rsidRDefault="00C17C8B" w:rsidP="00C17C8B">
      <w:pPr>
        <w:spacing w:line="240" w:lineRule="auto"/>
        <w:rPr>
          <w:bCs/>
        </w:rPr>
      </w:pPr>
      <w:r>
        <w:rPr>
          <w:bCs/>
        </w:rPr>
        <w:t>(i</w:t>
      </w:r>
      <w:r w:rsidRPr="004F0119">
        <w:rPr>
          <w:bCs/>
        </w:rPr>
        <w:t xml:space="preserve">n cooperation with </w:t>
      </w:r>
      <w:proofErr w:type="spellStart"/>
      <w:r w:rsidRPr="004F0119">
        <w:rPr>
          <w:bCs/>
          <w:i/>
        </w:rPr>
        <w:t>Hackethal</w:t>
      </w:r>
      <w:proofErr w:type="spellEnd"/>
      <w:r w:rsidRPr="004F0119">
        <w:rPr>
          <w:bCs/>
          <w:i/>
        </w:rPr>
        <w:t xml:space="preserve">, </w:t>
      </w:r>
      <w:proofErr w:type="spellStart"/>
      <w:r w:rsidRPr="004F0119">
        <w:rPr>
          <w:bCs/>
          <w:i/>
        </w:rPr>
        <w:t>Inderst</w:t>
      </w:r>
      <w:proofErr w:type="spellEnd"/>
      <w:r w:rsidRPr="004F0119">
        <w:rPr>
          <w:bCs/>
        </w:rPr>
        <w:t xml:space="preserve"> (main contributors), </w:t>
      </w:r>
      <w:r w:rsidRPr="004F0119">
        <w:rPr>
          <w:bCs/>
          <w:i/>
        </w:rPr>
        <w:t>Meyer</w:t>
      </w:r>
      <w:r w:rsidRPr="004F0119">
        <w:rPr>
          <w:bCs/>
        </w:rPr>
        <w:t xml:space="preserve"> and </w:t>
      </w:r>
      <w:proofErr w:type="spellStart"/>
      <w:r w:rsidRPr="004F0119">
        <w:rPr>
          <w:bCs/>
          <w:i/>
        </w:rPr>
        <w:t>Rochow</w:t>
      </w:r>
      <w:proofErr w:type="spellEnd"/>
      <w:r w:rsidRPr="004F0119">
        <w:rPr>
          <w:bCs/>
          <w:i/>
        </w:rPr>
        <w:t xml:space="preserve">, </w:t>
      </w:r>
      <w:proofErr w:type="spellStart"/>
      <w:r w:rsidRPr="004F0119">
        <w:rPr>
          <w:bCs/>
          <w:i/>
        </w:rPr>
        <w:t>Skiera</w:t>
      </w:r>
      <w:proofErr w:type="spellEnd"/>
      <w:r w:rsidRPr="004F0119">
        <w:rPr>
          <w:bCs/>
          <w:i/>
        </w:rPr>
        <w:t xml:space="preserve">, </w:t>
      </w:r>
      <w:proofErr w:type="spellStart"/>
      <w:r w:rsidRPr="004F0119">
        <w:rPr>
          <w:bCs/>
          <w:i/>
        </w:rPr>
        <w:t>Gründl</w:t>
      </w:r>
      <w:proofErr w:type="spellEnd"/>
      <w:r w:rsidRPr="00B12877">
        <w:rPr>
          <w:bCs/>
        </w:rPr>
        <w:t>)</w:t>
      </w:r>
    </w:p>
    <w:p w14:paraId="53D9F7E4" w14:textId="77777777" w:rsidR="002C17FB" w:rsidRDefault="002C17FB" w:rsidP="0021012D">
      <w:pPr>
        <w:spacing w:line="240" w:lineRule="auto"/>
      </w:pPr>
    </w:p>
    <w:p w14:paraId="6C07CA3B" w14:textId="77777777" w:rsidR="002C17FB" w:rsidRDefault="002C17FB" w:rsidP="0021012D">
      <w:pPr>
        <w:spacing w:line="240" w:lineRule="auto"/>
      </w:pPr>
    </w:p>
    <w:p w14:paraId="01E62290" w14:textId="4EAF1717" w:rsidR="00C17C8B" w:rsidRDefault="00C17C8B">
      <w:pPr>
        <w:spacing w:after="160" w:line="259" w:lineRule="auto"/>
        <w:jc w:val="left"/>
      </w:pPr>
      <w:r>
        <w:br w:type="page"/>
      </w:r>
    </w:p>
    <w:p w14:paraId="064781B3" w14:textId="3A4F9085" w:rsidR="00716BC7" w:rsidRPr="00C36BF1" w:rsidRDefault="0021012D" w:rsidP="00C36BF1">
      <w:pPr>
        <w:pStyle w:val="berschrift1"/>
        <w:ind w:left="0" w:firstLine="0"/>
        <w:rPr>
          <w:smallCaps w:val="0"/>
          <w:color w:val="0070C0"/>
          <w:sz w:val="28"/>
          <w:szCs w:val="28"/>
        </w:rPr>
      </w:pPr>
      <w:r w:rsidRPr="0021012D">
        <w:rPr>
          <w:smallCaps w:val="0"/>
          <w:color w:val="0070C0"/>
          <w:sz w:val="28"/>
          <w:szCs w:val="28"/>
        </w:rPr>
        <w:lastRenderedPageBreak/>
        <w:t>Solicited Lectures, Comments and Presentations</w:t>
      </w:r>
    </w:p>
    <w:p w14:paraId="62AB3288" w14:textId="2D51CC62" w:rsidR="002D31E9" w:rsidRDefault="002D31E9" w:rsidP="002D31E9">
      <w:pPr>
        <w:keepNext/>
        <w:keepLines/>
        <w:spacing w:line="240" w:lineRule="auto"/>
        <w:rPr>
          <w:color w:val="000000"/>
        </w:rPr>
      </w:pPr>
    </w:p>
    <w:p w14:paraId="5EF4AFAF" w14:textId="388E1435" w:rsidR="004306B0" w:rsidRDefault="004306B0" w:rsidP="009B75D7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Wirecard</w:t>
      </w:r>
      <w:proofErr w:type="spellEnd"/>
      <w:r w:rsidR="002E1348">
        <w:rPr>
          <w:color w:val="000000"/>
        </w:rPr>
        <w:t xml:space="preserve"> – </w:t>
      </w:r>
      <w:proofErr w:type="spellStart"/>
      <w:r w:rsidR="002E1348">
        <w:rPr>
          <w:color w:val="000000"/>
        </w:rPr>
        <w:t>Kultur</w:t>
      </w:r>
      <w:proofErr w:type="spellEnd"/>
      <w:r w:rsidR="002E1348">
        <w:rPr>
          <w:color w:val="000000"/>
        </w:rPr>
        <w:t xml:space="preserve">, </w:t>
      </w:r>
      <w:proofErr w:type="spellStart"/>
      <w:r w:rsidR="002E1348">
        <w:rPr>
          <w:color w:val="000000"/>
        </w:rPr>
        <w:t>Kognition</w:t>
      </w:r>
      <w:proofErr w:type="spellEnd"/>
      <w:r w:rsidR="002E1348">
        <w:rPr>
          <w:color w:val="000000"/>
        </w:rPr>
        <w:t xml:space="preserve"> und </w:t>
      </w:r>
      <w:proofErr w:type="spellStart"/>
      <w:r w:rsidR="002E1348">
        <w:rPr>
          <w:color w:val="000000"/>
        </w:rPr>
        <w:t>Rechtsrahmen</w:t>
      </w:r>
      <w:proofErr w:type="spellEnd"/>
    </w:p>
    <w:p w14:paraId="3DAA0D12" w14:textId="4027A4DA" w:rsidR="002E1348" w:rsidRDefault="002E1348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– Culture, Cognition and Legal framework)</w:t>
      </w:r>
    </w:p>
    <w:p w14:paraId="46FE2C9C" w14:textId="7B2E042E" w:rsidR="004306B0" w:rsidRDefault="004306B0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University of Innsbruck, Austria</w:t>
      </w:r>
    </w:p>
    <w:p w14:paraId="2F6341B0" w14:textId="54FCD67B" w:rsidR="004306B0" w:rsidRDefault="004306B0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24 January 2022</w:t>
      </w:r>
    </w:p>
    <w:p w14:paraId="0C34225E" w14:textId="77777777" w:rsidR="004306B0" w:rsidRDefault="004306B0" w:rsidP="009B75D7">
      <w:pPr>
        <w:keepNext/>
        <w:keepLines/>
        <w:spacing w:line="240" w:lineRule="auto"/>
        <w:rPr>
          <w:color w:val="000000"/>
        </w:rPr>
      </w:pPr>
    </w:p>
    <w:p w14:paraId="11BC1F35" w14:textId="6C04B8D8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Regulation of digital currency</w:t>
      </w:r>
    </w:p>
    <w:p w14:paraId="61140471" w14:textId="739670CB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Short Selling, Prime brokerage and collateral management</w:t>
      </w:r>
    </w:p>
    <w:p w14:paraId="6D721FEB" w14:textId="724414C0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Recent Developments in International Financial Regulation</w:t>
      </w:r>
    </w:p>
    <w:p w14:paraId="56AE1C87" w14:textId="5F40625B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All three at: IOSCO/PIFS Program Harvard Law School</w:t>
      </w:r>
    </w:p>
    <w:p w14:paraId="625DDFCD" w14:textId="0F4B57BA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29.November, 14. and </w:t>
      </w:r>
      <w:proofErr w:type="gramStart"/>
      <w:r>
        <w:rPr>
          <w:color w:val="000000"/>
        </w:rPr>
        <w:t>16.December</w:t>
      </w:r>
      <w:proofErr w:type="gramEnd"/>
      <w:r>
        <w:rPr>
          <w:color w:val="000000"/>
        </w:rPr>
        <w:t xml:space="preserve"> 2021</w:t>
      </w:r>
    </w:p>
    <w:p w14:paraId="58712222" w14:textId="07374899" w:rsidR="009B75D7" w:rsidRDefault="009B75D7" w:rsidP="009B75D7">
      <w:pPr>
        <w:keepNext/>
        <w:keepLines/>
        <w:spacing w:line="240" w:lineRule="auto"/>
        <w:rPr>
          <w:color w:val="000000"/>
        </w:rPr>
      </w:pPr>
    </w:p>
    <w:p w14:paraId="49C00B38" w14:textId="4B1C327E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AI as a Product? Algorithmic Credit Scoring as a Test Case for Regulating AI</w:t>
      </w:r>
    </w:p>
    <w:p w14:paraId="13C9F799" w14:textId="072CF519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University of Hamburg, </w:t>
      </w:r>
      <w:proofErr w:type="gramStart"/>
      <w:r>
        <w:rPr>
          <w:color w:val="000000"/>
        </w:rPr>
        <w:t>6.December</w:t>
      </w:r>
      <w:proofErr w:type="gramEnd"/>
      <w:r>
        <w:rPr>
          <w:color w:val="000000"/>
        </w:rPr>
        <w:t xml:space="preserve"> 2021</w:t>
      </w:r>
    </w:p>
    <w:p w14:paraId="003FCAB9" w14:textId="77777777" w:rsidR="009B75D7" w:rsidRDefault="009B75D7" w:rsidP="009B75D7">
      <w:pPr>
        <w:keepNext/>
        <w:keepLines/>
        <w:spacing w:line="240" w:lineRule="auto"/>
        <w:rPr>
          <w:color w:val="000000"/>
        </w:rPr>
      </w:pPr>
    </w:p>
    <w:p w14:paraId="73DAB198" w14:textId="677B4CD7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Artificial Intelligence and Ethics in Banking – Addressing the Trust Challenges</w:t>
      </w:r>
    </w:p>
    <w:p w14:paraId="27DBF6E7" w14:textId="77777777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Irish Banking Culture Board, Roundtable</w:t>
      </w:r>
    </w:p>
    <w:p w14:paraId="6EE8CBAD" w14:textId="3C9BB7F0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6.Dezember 2021</w:t>
      </w:r>
    </w:p>
    <w:p w14:paraId="5DE99FFF" w14:textId="77777777" w:rsidR="009B75D7" w:rsidRDefault="009B75D7" w:rsidP="009B75D7">
      <w:pPr>
        <w:keepNext/>
        <w:keepLines/>
        <w:spacing w:line="240" w:lineRule="auto"/>
        <w:rPr>
          <w:color w:val="000000"/>
        </w:rPr>
      </w:pPr>
    </w:p>
    <w:p w14:paraId="3C4C3EEB" w14:textId="70894A05" w:rsidR="009B75D7" w:rsidRDefault="009B75D7" w:rsidP="009B75D7">
      <w:pPr>
        <w:keepNext/>
        <w:keepLines/>
        <w:spacing w:line="240" w:lineRule="auto"/>
        <w:rPr>
          <w:color w:val="000000"/>
        </w:rPr>
      </w:pPr>
      <w:r w:rsidRPr="00701B3F">
        <w:rPr>
          <w:color w:val="000000"/>
        </w:rPr>
        <w:t xml:space="preserve">Panelist on </w:t>
      </w:r>
      <w:proofErr w:type="spellStart"/>
      <w:r w:rsidRPr="00701B3F">
        <w:rPr>
          <w:color w:val="000000"/>
        </w:rPr>
        <w:t>Digitalisation</w:t>
      </w:r>
      <w:proofErr w:type="spellEnd"/>
      <w:r w:rsidRPr="00701B3F">
        <w:rPr>
          <w:color w:val="000000"/>
        </w:rPr>
        <w:t xml:space="preserve"> of finance: the challenge </w:t>
      </w:r>
      <w:r>
        <w:rPr>
          <w:color w:val="000000"/>
        </w:rPr>
        <w:t>from a central bank and supervisory perspective</w:t>
      </w:r>
    </w:p>
    <w:p w14:paraId="54168C92" w14:textId="77777777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ECB Legal Conference 2021</w:t>
      </w:r>
    </w:p>
    <w:p w14:paraId="2BC79755" w14:textId="4D1800EA" w:rsidR="009B75D7" w:rsidRDefault="009B75D7" w:rsidP="009B75D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25./26.November 2021</w:t>
      </w:r>
    </w:p>
    <w:p w14:paraId="34004CFB" w14:textId="77777777" w:rsidR="009B75D7" w:rsidRDefault="009B75D7" w:rsidP="000C7ACE">
      <w:pPr>
        <w:keepNext/>
        <w:keepLines/>
        <w:spacing w:line="240" w:lineRule="auto"/>
        <w:rPr>
          <w:color w:val="000000"/>
        </w:rPr>
      </w:pPr>
    </w:p>
    <w:p w14:paraId="23DA00E4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r w:rsidRPr="00F024C8">
        <w:rPr>
          <w:color w:val="000000"/>
        </w:rPr>
        <w:t>AI Credit Scoring as „high</w:t>
      </w:r>
      <w:r>
        <w:rPr>
          <w:color w:val="000000"/>
        </w:rPr>
        <w:t xml:space="preserve"> risk”</w:t>
      </w:r>
    </w:p>
    <w:p w14:paraId="7D60F681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Competition and the regulation of financial innovation</w:t>
      </w:r>
    </w:p>
    <w:p w14:paraId="0BDD9E3D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Mannheim Centre for Competition and Innovation (</w:t>
      </w:r>
      <w:proofErr w:type="spellStart"/>
      <w:r>
        <w:rPr>
          <w:color w:val="000000"/>
        </w:rPr>
        <w:t>MaCCI</w:t>
      </w:r>
      <w:proofErr w:type="spellEnd"/>
      <w:r>
        <w:rPr>
          <w:color w:val="000000"/>
        </w:rPr>
        <w:t>)</w:t>
      </w:r>
    </w:p>
    <w:p w14:paraId="500C48E0" w14:textId="56A1C633" w:rsidR="000C7ACE" w:rsidRPr="00BE470B" w:rsidRDefault="000C7ACE" w:rsidP="000C7ACE">
      <w:pPr>
        <w:keepNext/>
        <w:keepLines/>
        <w:spacing w:line="240" w:lineRule="auto"/>
        <w:rPr>
          <w:color w:val="000000"/>
          <w:lang w:val="de-DE"/>
        </w:rPr>
      </w:pPr>
      <w:r w:rsidRPr="00BE470B">
        <w:rPr>
          <w:color w:val="000000"/>
          <w:lang w:val="de-DE"/>
        </w:rPr>
        <w:t>18 November 2021</w:t>
      </w:r>
    </w:p>
    <w:p w14:paraId="567EB5F3" w14:textId="77777777" w:rsidR="00BE470B" w:rsidRPr="009B75D7" w:rsidRDefault="00BE470B" w:rsidP="000C7ACE">
      <w:pPr>
        <w:keepNext/>
        <w:keepLines/>
        <w:spacing w:line="240" w:lineRule="auto"/>
        <w:rPr>
          <w:color w:val="000000"/>
          <w:lang w:val="de-DE"/>
        </w:rPr>
      </w:pPr>
    </w:p>
    <w:p w14:paraId="6C3DA8DA" w14:textId="6B8CCB40" w:rsidR="000C7ACE" w:rsidRDefault="000C7ACE" w:rsidP="000C7ACE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Kreditwürdigkeitsprüfung mittels Künstlicher Intelligenz? – Zum Vorschlag der Kommission für ein AI-Gesetz</w:t>
      </w:r>
    </w:p>
    <w:p w14:paraId="174CFBE2" w14:textId="5D4E1DC7" w:rsidR="000C7ACE" w:rsidRPr="000C7ACE" w:rsidRDefault="000C7ACE" w:rsidP="000C7ACE">
      <w:pPr>
        <w:keepNext/>
        <w:keepLines/>
        <w:spacing w:line="240" w:lineRule="auto"/>
        <w:rPr>
          <w:color w:val="000000"/>
        </w:rPr>
      </w:pPr>
      <w:r w:rsidRPr="000C7ACE">
        <w:rPr>
          <w:color w:val="000000"/>
        </w:rPr>
        <w:t xml:space="preserve">(Creditworthiness assessments using AI? – On the </w:t>
      </w:r>
      <w:r>
        <w:rPr>
          <w:color w:val="000000"/>
        </w:rPr>
        <w:t>Proposal of the EU Commission for an AI Act)</w:t>
      </w:r>
    </w:p>
    <w:p w14:paraId="148398A7" w14:textId="572E8358" w:rsidR="000C7ACE" w:rsidRDefault="000C7ACE" w:rsidP="000C7ACE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 xml:space="preserve">Symposion Kreditanalyse in Zeiten des Wandels, Zum Nutzen interner und externer Ratings aus historischer und aktueller Perspektive, Institut für Bank- und Finanzgeschichte (Institute for </w:t>
      </w:r>
      <w:proofErr w:type="spellStart"/>
      <w:r>
        <w:rPr>
          <w:color w:val="000000"/>
          <w:lang w:val="de-DE"/>
        </w:rPr>
        <w:t>the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history</w:t>
      </w:r>
      <w:proofErr w:type="spellEnd"/>
      <w:r>
        <w:rPr>
          <w:color w:val="000000"/>
          <w:lang w:val="de-DE"/>
        </w:rPr>
        <w:t xml:space="preserve"> of </w:t>
      </w:r>
      <w:proofErr w:type="spellStart"/>
      <w:r>
        <w:rPr>
          <w:color w:val="000000"/>
          <w:lang w:val="de-DE"/>
        </w:rPr>
        <w:t>banking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and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finance</w:t>
      </w:r>
      <w:proofErr w:type="spellEnd"/>
      <w:r>
        <w:rPr>
          <w:color w:val="000000"/>
          <w:lang w:val="de-DE"/>
        </w:rPr>
        <w:t>), Frankfurt</w:t>
      </w:r>
    </w:p>
    <w:p w14:paraId="361A8B97" w14:textId="0B250861" w:rsidR="000C7ACE" w:rsidRPr="00BE470B" w:rsidRDefault="000C7ACE" w:rsidP="002D31E9">
      <w:pPr>
        <w:keepNext/>
        <w:keepLines/>
        <w:spacing w:line="240" w:lineRule="auto"/>
        <w:rPr>
          <w:color w:val="000000"/>
        </w:rPr>
      </w:pPr>
      <w:r w:rsidRPr="00BE470B">
        <w:rPr>
          <w:color w:val="000000"/>
        </w:rPr>
        <w:t>27 October 2021</w:t>
      </w:r>
    </w:p>
    <w:p w14:paraId="26BF3846" w14:textId="10CDA043" w:rsidR="000C7ACE" w:rsidRDefault="000C7ACE" w:rsidP="002D31E9">
      <w:pPr>
        <w:keepNext/>
        <w:keepLines/>
        <w:spacing w:line="240" w:lineRule="auto"/>
        <w:rPr>
          <w:color w:val="000000"/>
        </w:rPr>
      </w:pPr>
    </w:p>
    <w:p w14:paraId="1B9014AB" w14:textId="77777777" w:rsidR="00BE470B" w:rsidRDefault="00BE470B" w:rsidP="00BE470B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The EU Commission’s Proposal on an AI Act</w:t>
      </w:r>
    </w:p>
    <w:p w14:paraId="01759641" w14:textId="77777777" w:rsidR="00BE470B" w:rsidRDefault="00BE470B" w:rsidP="00BE470B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NYU Privacy Research Group</w:t>
      </w:r>
    </w:p>
    <w:p w14:paraId="1711DC96" w14:textId="77777777" w:rsidR="00BE470B" w:rsidRPr="00BE470B" w:rsidRDefault="00BE470B" w:rsidP="00BE470B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Oktober</w:t>
      </w:r>
      <w:proofErr w:type="spellEnd"/>
      <w:r>
        <w:rPr>
          <w:color w:val="000000"/>
        </w:rPr>
        <w:t xml:space="preserve"> 2021</w:t>
      </w:r>
    </w:p>
    <w:p w14:paraId="63BB17E2" w14:textId="77777777" w:rsidR="00BE470B" w:rsidRPr="00BE470B" w:rsidRDefault="00BE470B" w:rsidP="002D31E9">
      <w:pPr>
        <w:keepNext/>
        <w:keepLines/>
        <w:spacing w:line="240" w:lineRule="auto"/>
        <w:rPr>
          <w:color w:val="000000"/>
        </w:rPr>
      </w:pPr>
    </w:p>
    <w:p w14:paraId="203AB019" w14:textId="0274621E" w:rsidR="000C7ACE" w:rsidRDefault="000C7ACE" w:rsidP="000C7ACE">
      <w:pPr>
        <w:keepNext/>
        <w:keepLines/>
        <w:spacing w:line="240" w:lineRule="auto"/>
        <w:rPr>
          <w:color w:val="000000"/>
        </w:rPr>
      </w:pPr>
      <w:r w:rsidRPr="00F024C8">
        <w:rPr>
          <w:color w:val="000000"/>
        </w:rPr>
        <w:t>Moderati</w:t>
      </w:r>
      <w:r>
        <w:rPr>
          <w:color w:val="000000"/>
        </w:rPr>
        <w:t>ng</w:t>
      </w:r>
      <w:r w:rsidRPr="00F024C8">
        <w:rPr>
          <w:color w:val="000000"/>
        </w:rPr>
        <w:t xml:space="preserve"> Cornelia </w:t>
      </w:r>
      <w:proofErr w:type="spellStart"/>
      <w:r w:rsidRPr="00F024C8">
        <w:rPr>
          <w:color w:val="000000"/>
        </w:rPr>
        <w:t>Woll</w:t>
      </w:r>
      <w:proofErr w:type="spellEnd"/>
      <w:r w:rsidRPr="00F024C8">
        <w:rPr>
          <w:color w:val="000000"/>
        </w:rPr>
        <w:t xml:space="preserve">, Economic </w:t>
      </w:r>
      <w:proofErr w:type="spellStart"/>
      <w:r w:rsidRPr="00F024C8">
        <w:rPr>
          <w:color w:val="000000"/>
        </w:rPr>
        <w:t>Lawfare</w:t>
      </w:r>
      <w:proofErr w:type="spellEnd"/>
    </w:p>
    <w:p w14:paraId="0A4E8988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Max Planck Institute Cologne and </w:t>
      </w:r>
      <w:proofErr w:type="spellStart"/>
      <w:r>
        <w:rPr>
          <w:color w:val="000000"/>
        </w:rPr>
        <w:t>SciencesPo</w:t>
      </w:r>
      <w:proofErr w:type="spellEnd"/>
      <w:r>
        <w:rPr>
          <w:color w:val="000000"/>
        </w:rPr>
        <w:t xml:space="preserve"> Paris (</w:t>
      </w:r>
      <w:proofErr w:type="spellStart"/>
      <w:r>
        <w:rPr>
          <w:color w:val="000000"/>
        </w:rPr>
        <w:t>MaxPo</w:t>
      </w:r>
      <w:proofErr w:type="spellEnd"/>
      <w:r>
        <w:rPr>
          <w:color w:val="000000"/>
        </w:rPr>
        <w:t>),</w:t>
      </w:r>
    </w:p>
    <w:p w14:paraId="06827C69" w14:textId="5F2E325A" w:rsidR="000C7ACE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Brokering Ideas in Social Sciences</w:t>
      </w:r>
    </w:p>
    <w:p w14:paraId="56EB8D01" w14:textId="77777777" w:rsidR="000C7ACE" w:rsidRPr="00F024C8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20. September 2021</w:t>
      </w:r>
    </w:p>
    <w:p w14:paraId="33457E1E" w14:textId="0C041FDD" w:rsidR="000C7ACE" w:rsidRPr="00BE470B" w:rsidRDefault="000C7ACE" w:rsidP="002D31E9">
      <w:pPr>
        <w:keepNext/>
        <w:keepLines/>
        <w:spacing w:line="240" w:lineRule="auto"/>
        <w:rPr>
          <w:color w:val="000000"/>
        </w:rPr>
      </w:pPr>
    </w:p>
    <w:p w14:paraId="65E56CA0" w14:textId="77777777" w:rsidR="000C7ACE" w:rsidRPr="000C7ACE" w:rsidRDefault="000C7ACE" w:rsidP="000C7ACE">
      <w:pPr>
        <w:keepNext/>
        <w:keepLines/>
        <w:spacing w:line="240" w:lineRule="auto"/>
        <w:rPr>
          <w:color w:val="000000"/>
        </w:rPr>
      </w:pPr>
      <w:r w:rsidRPr="000C7ACE">
        <w:rPr>
          <w:color w:val="000000"/>
        </w:rPr>
        <w:t>AI as a product?</w:t>
      </w:r>
    </w:p>
    <w:p w14:paraId="2D853056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proofErr w:type="spellStart"/>
      <w:r w:rsidRPr="00F024C8">
        <w:rPr>
          <w:color w:val="000000"/>
        </w:rPr>
        <w:t>RegHorizon</w:t>
      </w:r>
      <w:proofErr w:type="spellEnd"/>
      <w:r w:rsidRPr="00F024C8">
        <w:rPr>
          <w:color w:val="000000"/>
        </w:rPr>
        <w:t xml:space="preserve"> 2nd AI Policy Confere</w:t>
      </w:r>
      <w:r>
        <w:rPr>
          <w:color w:val="000000"/>
        </w:rPr>
        <w:t>nce, ETH Zürich</w:t>
      </w:r>
    </w:p>
    <w:p w14:paraId="699C1088" w14:textId="5B5EB8A0" w:rsidR="000C7ACE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lastRenderedPageBreak/>
        <w:t>14 September 2021</w:t>
      </w:r>
    </w:p>
    <w:p w14:paraId="5BDDB28E" w14:textId="6317E905" w:rsidR="000C7ACE" w:rsidRDefault="000C7ACE" w:rsidP="000C7ACE">
      <w:pPr>
        <w:keepNext/>
        <w:keepLines/>
        <w:spacing w:line="240" w:lineRule="auto"/>
        <w:rPr>
          <w:color w:val="000000"/>
        </w:rPr>
      </w:pPr>
    </w:p>
    <w:p w14:paraId="42AB2145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– which lessons to draw?</w:t>
      </w:r>
    </w:p>
    <w:p w14:paraId="3A281CD3" w14:textId="77777777" w:rsidR="000C7ACE" w:rsidRDefault="000C7ACE" w:rsidP="000C7ACE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ComplianceNet</w:t>
      </w:r>
      <w:proofErr w:type="spellEnd"/>
      <w:r>
        <w:rPr>
          <w:color w:val="000000"/>
        </w:rPr>
        <w:t xml:space="preserve"> Conference 2021</w:t>
      </w:r>
    </w:p>
    <w:p w14:paraId="27535330" w14:textId="2FE68C71" w:rsidR="000C7ACE" w:rsidRPr="00F024C8" w:rsidRDefault="000C7ACE" w:rsidP="000C7ACE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28.Juni 2021</w:t>
      </w:r>
    </w:p>
    <w:p w14:paraId="044F2B52" w14:textId="77777777" w:rsidR="000C7ACE" w:rsidRDefault="000C7ACE" w:rsidP="002D31E9">
      <w:pPr>
        <w:keepNext/>
        <w:keepLines/>
        <w:spacing w:line="240" w:lineRule="auto"/>
        <w:rPr>
          <w:color w:val="000000"/>
        </w:rPr>
      </w:pPr>
    </w:p>
    <w:p w14:paraId="3E370BBC" w14:textId="6DB595CE" w:rsidR="002D31E9" w:rsidRDefault="003971FD" w:rsidP="002D31E9">
      <w:pPr>
        <w:keepNext/>
        <w:keepLines/>
        <w:spacing w:line="240" w:lineRule="auto"/>
        <w:rPr>
          <w:color w:val="000000"/>
        </w:rPr>
      </w:pPr>
      <w:r w:rsidRPr="008F5D87">
        <w:rPr>
          <w:color w:val="000000"/>
        </w:rPr>
        <w:t>Numbers don’t lie? Historic bias, illusions of certainty and algorithmic credit scoring</w:t>
      </w:r>
    </w:p>
    <w:p w14:paraId="11EDF4A7" w14:textId="5C4D862E" w:rsidR="002D31E9" w:rsidRDefault="002D31E9" w:rsidP="002D31E9">
      <w:pPr>
        <w:keepNext/>
        <w:keepLines/>
        <w:spacing w:line="240" w:lineRule="auto"/>
        <w:rPr>
          <w:color w:val="000000"/>
        </w:rPr>
      </w:pPr>
      <w:proofErr w:type="spellStart"/>
      <w:r w:rsidRPr="00A3237C">
        <w:rPr>
          <w:color w:val="000000"/>
        </w:rPr>
        <w:t>Ringvorlesung</w:t>
      </w:r>
      <w:proofErr w:type="spellEnd"/>
      <w:r w:rsidRPr="00A3237C">
        <w:rPr>
          <w:color w:val="000000"/>
        </w:rPr>
        <w:t xml:space="preserve"> </w:t>
      </w:r>
      <w:proofErr w:type="spellStart"/>
      <w:r w:rsidRPr="00A3237C">
        <w:rPr>
          <w:color w:val="000000"/>
        </w:rPr>
        <w:t>Algorithmen</w:t>
      </w:r>
      <w:proofErr w:type="spellEnd"/>
      <w:r w:rsidRPr="00A3237C">
        <w:rPr>
          <w:color w:val="000000"/>
        </w:rPr>
        <w:t xml:space="preserve"> </w:t>
      </w:r>
      <w:proofErr w:type="spellStart"/>
      <w:r w:rsidRPr="00A3237C">
        <w:rPr>
          <w:color w:val="000000"/>
        </w:rPr>
        <w:t>zwischen</w:t>
      </w:r>
      <w:proofErr w:type="spellEnd"/>
      <w:r w:rsidRPr="00A3237C">
        <w:rPr>
          <w:color w:val="000000"/>
        </w:rPr>
        <w:t xml:space="preserve"> </w:t>
      </w:r>
      <w:proofErr w:type="spellStart"/>
      <w:r w:rsidRPr="00A3237C">
        <w:rPr>
          <w:color w:val="000000"/>
        </w:rPr>
        <w:t>Vertrauen</w:t>
      </w:r>
      <w:proofErr w:type="spellEnd"/>
      <w:r w:rsidRPr="00A3237C">
        <w:rPr>
          <w:color w:val="000000"/>
        </w:rPr>
        <w:t xml:space="preserve"> und Kontrolle (Algorithms between Trust and control), Goethe University 27 May 2021</w:t>
      </w:r>
    </w:p>
    <w:p w14:paraId="25218055" w14:textId="11450CC1" w:rsidR="00B079F3" w:rsidRDefault="00B079F3" w:rsidP="002D31E9">
      <w:pPr>
        <w:keepNext/>
        <w:keepLines/>
        <w:spacing w:line="240" w:lineRule="auto"/>
        <w:rPr>
          <w:color w:val="000000"/>
        </w:rPr>
      </w:pPr>
    </w:p>
    <w:p w14:paraId="6B78FBB9" w14:textId="77777777" w:rsidR="00B079F3" w:rsidRDefault="00B079F3" w:rsidP="00B079F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Lessons learned from </w:t>
      </w:r>
      <w:proofErr w:type="spellStart"/>
      <w:r>
        <w:rPr>
          <w:color w:val="000000"/>
        </w:rPr>
        <w:t>Wirecard</w:t>
      </w:r>
      <w:proofErr w:type="spellEnd"/>
    </w:p>
    <w:p w14:paraId="1B5DEB1C" w14:textId="77777777" w:rsidR="00B079F3" w:rsidRDefault="00B079F3" w:rsidP="00B079F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CMVM/CIRSF/EUI Supervisions of Auditors at a Crossroads</w:t>
      </w:r>
    </w:p>
    <w:p w14:paraId="210713B8" w14:textId="7D11513B" w:rsidR="00B079F3" w:rsidRPr="00A3237C" w:rsidRDefault="00B079F3" w:rsidP="00B079F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29 April 2021</w:t>
      </w:r>
    </w:p>
    <w:p w14:paraId="0DA23A90" w14:textId="77777777" w:rsidR="002D31E9" w:rsidRPr="00A3237C" w:rsidRDefault="002D31E9" w:rsidP="002D31E9">
      <w:pPr>
        <w:keepNext/>
        <w:keepLines/>
        <w:spacing w:line="240" w:lineRule="auto"/>
        <w:rPr>
          <w:color w:val="000000"/>
        </w:rPr>
      </w:pPr>
    </w:p>
    <w:p w14:paraId="1E423F7D" w14:textId="5CBE7727" w:rsidR="002D31E9" w:rsidRDefault="002D31E9" w:rsidP="002D31E9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Dissecting Germany’s </w:t>
      </w: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Scandal: Takeaways for Investors</w:t>
      </w:r>
    </w:p>
    <w:p w14:paraId="6E8A4DD6" w14:textId="6672E460" w:rsidR="002D31E9" w:rsidRDefault="002D31E9" w:rsidP="002D31E9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CII 2021 Spring Conference, Moving Forward Together, 10 March 2021</w:t>
      </w:r>
    </w:p>
    <w:p w14:paraId="34F70DC5" w14:textId="77777777" w:rsidR="002D31E9" w:rsidRDefault="002D31E9" w:rsidP="00D96556">
      <w:pPr>
        <w:keepNext/>
        <w:keepLines/>
        <w:spacing w:line="240" w:lineRule="auto"/>
        <w:rPr>
          <w:color w:val="000000"/>
        </w:rPr>
      </w:pPr>
    </w:p>
    <w:p w14:paraId="2294EBFD" w14:textId="0DC40B6D" w:rsidR="00C17C8B" w:rsidRDefault="0019241F" w:rsidP="00D96556">
      <w:pPr>
        <w:keepNext/>
        <w:keepLines/>
        <w:spacing w:line="240" w:lineRule="auto"/>
        <w:rPr>
          <w:color w:val="000000"/>
        </w:rPr>
      </w:pPr>
      <w:r w:rsidRPr="007826DF">
        <w:rPr>
          <w:color w:val="000000"/>
        </w:rPr>
        <w:t>Fintech and Fairness – Regulating Algorithmic</w:t>
      </w:r>
      <w:r>
        <w:rPr>
          <w:color w:val="000000"/>
        </w:rPr>
        <w:t xml:space="preserve"> Credit Scoring</w:t>
      </w:r>
    </w:p>
    <w:p w14:paraId="5E442330" w14:textId="7706D4C8" w:rsidR="00CF7899" w:rsidRDefault="00716BC7" w:rsidP="00D96556">
      <w:pPr>
        <w:keepNext/>
        <w:keepLines/>
        <w:spacing w:line="240" w:lineRule="auto"/>
        <w:rPr>
          <w:szCs w:val="24"/>
        </w:rPr>
      </w:pPr>
      <w:r w:rsidRPr="000564AD">
        <w:rPr>
          <w:szCs w:val="24"/>
        </w:rPr>
        <w:t>The 3</w:t>
      </w:r>
      <w:r w:rsidRPr="000564AD">
        <w:rPr>
          <w:szCs w:val="24"/>
          <w:vertAlign w:val="superscript"/>
        </w:rPr>
        <w:t>rd</w:t>
      </w:r>
      <w:r w:rsidRPr="000564AD">
        <w:rPr>
          <w:szCs w:val="24"/>
        </w:rPr>
        <w:t xml:space="preserve"> Edinburg FinTech Law Lecture</w:t>
      </w:r>
      <w:r>
        <w:rPr>
          <w:szCs w:val="24"/>
        </w:rPr>
        <w:t xml:space="preserve">, 5 </w:t>
      </w:r>
      <w:r w:rsidR="009E7C3A">
        <w:rPr>
          <w:szCs w:val="24"/>
        </w:rPr>
        <w:t>March</w:t>
      </w:r>
      <w:r>
        <w:rPr>
          <w:szCs w:val="24"/>
        </w:rPr>
        <w:t xml:space="preserve"> 2021</w:t>
      </w:r>
    </w:p>
    <w:p w14:paraId="004CAD9C" w14:textId="77777777" w:rsidR="00716BC7" w:rsidRDefault="00716BC7" w:rsidP="00D96556">
      <w:pPr>
        <w:keepNext/>
        <w:keepLines/>
        <w:spacing w:line="240" w:lineRule="auto"/>
        <w:rPr>
          <w:color w:val="000000"/>
        </w:rPr>
      </w:pPr>
    </w:p>
    <w:p w14:paraId="486A699D" w14:textId="77777777" w:rsidR="00716BC7" w:rsidRDefault="00D96556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Short Selling and Market Stability</w:t>
      </w:r>
    </w:p>
    <w:p w14:paraId="46939D63" w14:textId="765CF258" w:rsidR="00716BC7" w:rsidRDefault="00D96556" w:rsidP="00716BC7">
      <w:pPr>
        <w:keepNext/>
        <w:keepLines/>
        <w:spacing w:line="240" w:lineRule="auto"/>
      </w:pPr>
      <w:r w:rsidRPr="001F0DAD">
        <w:t xml:space="preserve">IOSCO/PIFS program, Harvard Law School, </w:t>
      </w:r>
      <w:r>
        <w:t>10</w:t>
      </w:r>
      <w:r w:rsidRPr="001F0DAD">
        <w:t xml:space="preserve"> De</w:t>
      </w:r>
      <w:r>
        <w:t>c</w:t>
      </w:r>
      <w:r w:rsidRPr="001F0DAD">
        <w:t>ember 20</w:t>
      </w:r>
      <w:r>
        <w:t xml:space="preserve">20 </w:t>
      </w:r>
    </w:p>
    <w:p w14:paraId="20F8A591" w14:textId="7DF45D80" w:rsidR="00716BC7" w:rsidRDefault="00716BC7" w:rsidP="00716BC7">
      <w:pPr>
        <w:keepNext/>
        <w:keepLines/>
        <w:spacing w:line="240" w:lineRule="auto"/>
      </w:pPr>
    </w:p>
    <w:p w14:paraId="6BFEF3E6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– a timely scandal</w:t>
      </w:r>
    </w:p>
    <w:p w14:paraId="2EDFAAE7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University of Zurich</w:t>
      </w:r>
    </w:p>
    <w:p w14:paraId="55AC2C92" w14:textId="66CA0796" w:rsidR="00716BC7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</w:t>
      </w:r>
      <w:r w:rsidR="009D4E72">
        <w:rPr>
          <w:color w:val="000000"/>
        </w:rPr>
        <w:t xml:space="preserve"> </w:t>
      </w:r>
      <w:r>
        <w:rPr>
          <w:color w:val="000000"/>
        </w:rPr>
        <w:t xml:space="preserve">December 2020 </w:t>
      </w:r>
    </w:p>
    <w:p w14:paraId="4936AFE9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</w:p>
    <w:p w14:paraId="52075370" w14:textId="77777777" w:rsidR="00716BC7" w:rsidRPr="00E6732F" w:rsidRDefault="00716BC7" w:rsidP="00716BC7">
      <w:pPr>
        <w:keepNext/>
        <w:keepLines/>
        <w:spacing w:line="240" w:lineRule="auto"/>
        <w:rPr>
          <w:color w:val="000000"/>
        </w:rPr>
      </w:pPr>
      <w:r w:rsidRPr="00E6732F">
        <w:rPr>
          <w:color w:val="000000"/>
        </w:rPr>
        <w:t>Use of AI in assessing creditworthiness: what are the right checks and balances?</w:t>
      </w:r>
    </w:p>
    <w:p w14:paraId="7E18C8B3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FinCoNet</w:t>
      </w:r>
      <w:proofErr w:type="spellEnd"/>
      <w:r>
        <w:rPr>
          <w:color w:val="000000"/>
        </w:rPr>
        <w:t xml:space="preserve">, OECD, International Seminar on Creditworthiness </w:t>
      </w:r>
      <w:proofErr w:type="spellStart"/>
      <w:r>
        <w:rPr>
          <w:color w:val="000000"/>
        </w:rPr>
        <w:t>assessements</w:t>
      </w:r>
      <w:proofErr w:type="spellEnd"/>
    </w:p>
    <w:p w14:paraId="17D87324" w14:textId="1B2ED637" w:rsidR="00716BC7" w:rsidRPr="00E6732F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1</w:t>
      </w:r>
      <w:r w:rsidR="00CE1F22">
        <w:rPr>
          <w:color w:val="000000"/>
        </w:rPr>
        <w:t>3</w:t>
      </w:r>
      <w:r>
        <w:rPr>
          <w:color w:val="000000"/>
        </w:rPr>
        <w:t xml:space="preserve"> November 2020 </w:t>
      </w:r>
    </w:p>
    <w:p w14:paraId="65C5E625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</w:p>
    <w:p w14:paraId="741B10E0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Whistleblowing – a U.S./EU perspective</w:t>
      </w:r>
    </w:p>
    <w:p w14:paraId="4D634FBE" w14:textId="6EDCCD0D" w:rsidR="00716BC7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Brooklyn Law School, 14</w:t>
      </w:r>
      <w:r w:rsidR="00E62025">
        <w:rPr>
          <w:color w:val="000000"/>
        </w:rPr>
        <w:t xml:space="preserve"> </w:t>
      </w:r>
      <w:r>
        <w:rPr>
          <w:color w:val="000000"/>
        </w:rPr>
        <w:t xml:space="preserve">October 2020 </w:t>
      </w:r>
    </w:p>
    <w:p w14:paraId="75F71B4A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</w:p>
    <w:p w14:paraId="23DEDBF9" w14:textId="77777777" w:rsidR="00716BC7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Responsible A.I. Credit Scoring</w:t>
      </w:r>
    </w:p>
    <w:p w14:paraId="37A99D20" w14:textId="328F36C0" w:rsidR="00716BC7" w:rsidRPr="00D56C99" w:rsidRDefault="00716BC7" w:rsidP="00716BC7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6</w:t>
      </w:r>
      <w:r w:rsidRPr="00C72CEA">
        <w:rPr>
          <w:color w:val="000000"/>
          <w:vertAlign w:val="superscript"/>
        </w:rPr>
        <w:t>th</w:t>
      </w:r>
      <w:r>
        <w:rPr>
          <w:color w:val="000000"/>
        </w:rPr>
        <w:t xml:space="preserve"> Luxemburg FinTech Conference, 7</w:t>
      </w:r>
      <w:r w:rsidR="00E62025">
        <w:rPr>
          <w:color w:val="000000"/>
        </w:rPr>
        <w:t xml:space="preserve"> </w:t>
      </w:r>
      <w:r>
        <w:rPr>
          <w:color w:val="000000"/>
        </w:rPr>
        <w:t xml:space="preserve">October 2020 </w:t>
      </w:r>
    </w:p>
    <w:p w14:paraId="00FD9AE9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</w:p>
    <w:p w14:paraId="1C2C9EA9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A.I. Credit Scoring – A Comparative Glance at EU and US Privacy and Anti-Discrimination Laws</w:t>
      </w:r>
    </w:p>
    <w:p w14:paraId="76CF6DD8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Workshop on Digital Capital Markets, Helsinki University, 4/5 June 2020 (moved to September/online)</w:t>
      </w:r>
    </w:p>
    <w:p w14:paraId="0EB5E282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</w:p>
    <w:p w14:paraId="72BF47CD" w14:textId="77777777" w:rsidR="00716BC7" w:rsidRDefault="00716BC7" w:rsidP="00716BC7">
      <w:pPr>
        <w:keepNext/>
        <w:keepLines/>
        <w:spacing w:line="240" w:lineRule="auto"/>
      </w:pPr>
      <w:r>
        <w:t>Commercial Behavioral Tracking and Algorithmic Discrimination</w:t>
      </w:r>
    </w:p>
    <w:p w14:paraId="2F32749E" w14:textId="1F6B0C98" w:rsidR="00716BC7" w:rsidRPr="00AE1E6F" w:rsidRDefault="00716BC7" w:rsidP="00716BC7">
      <w:pPr>
        <w:keepNext/>
        <w:keepLines/>
        <w:spacing w:line="240" w:lineRule="auto"/>
      </w:pPr>
      <w:r>
        <w:t xml:space="preserve">Current Issues in Privacy and Technology Law, Fordham Law School, 23 </w:t>
      </w:r>
      <w:r w:rsidR="00BB56FA">
        <w:t>July</w:t>
      </w:r>
      <w:r>
        <w:t xml:space="preserve"> 2020 </w:t>
      </w:r>
    </w:p>
    <w:p w14:paraId="3DB08FAA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</w:p>
    <w:p w14:paraId="3984446D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Responsible A.I. Based Credit Scoring: A Legal Framework</w:t>
      </w:r>
    </w:p>
    <w:p w14:paraId="2241D102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Wharton </w:t>
      </w:r>
      <w:proofErr w:type="spellStart"/>
      <w:r>
        <w:rPr>
          <w:rFonts w:cstheme="minorHAnsi"/>
          <w:color w:val="000000"/>
        </w:rPr>
        <w:t>FinReg</w:t>
      </w:r>
      <w:proofErr w:type="spellEnd"/>
      <w:r>
        <w:rPr>
          <w:rFonts w:cstheme="minorHAnsi"/>
          <w:color w:val="000000"/>
        </w:rPr>
        <w:t xml:space="preserve"> conference, 17 April 2020 </w:t>
      </w:r>
      <w:r>
        <w:rPr>
          <w:rFonts w:cstheme="minorHAnsi"/>
        </w:rPr>
        <w:t>(cancelled due to COVID-19 outbreak)</w:t>
      </w:r>
    </w:p>
    <w:p w14:paraId="51FBF12C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</w:p>
    <w:p w14:paraId="49600EB5" w14:textId="77777777" w:rsidR="00716BC7" w:rsidRDefault="00716BC7" w:rsidP="00716BC7">
      <w:pPr>
        <w:keepNext/>
        <w:keepLines/>
        <w:spacing w:line="240" w:lineRule="auto"/>
        <w:rPr>
          <w:rFonts w:cstheme="minorHAnsi"/>
          <w:color w:val="000000"/>
        </w:rPr>
      </w:pPr>
      <w:r w:rsidRPr="007B7A30">
        <w:rPr>
          <w:rFonts w:cstheme="minorHAnsi"/>
          <w:color w:val="000000"/>
        </w:rPr>
        <w:t>Cryptocurrencies as a challenge for securities regulation</w:t>
      </w:r>
      <w:r>
        <w:rPr>
          <w:rFonts w:cstheme="minorHAnsi"/>
          <w:color w:val="000000"/>
        </w:rPr>
        <w:t>?</w:t>
      </w:r>
    </w:p>
    <w:p w14:paraId="05211AE9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 xml:space="preserve">German/Asian </w:t>
      </w:r>
      <w:proofErr w:type="spellStart"/>
      <w:r>
        <w:rPr>
          <w:rFonts w:cstheme="minorHAnsi"/>
        </w:rPr>
        <w:t>Symposion</w:t>
      </w:r>
      <w:proofErr w:type="spellEnd"/>
      <w:r>
        <w:rPr>
          <w:rFonts w:cstheme="minorHAnsi"/>
        </w:rPr>
        <w:t>, Frankfurt 2/3 April 2020 (cancelled due to COVID-19 outbreak)</w:t>
      </w:r>
    </w:p>
    <w:p w14:paraId="6212185C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</w:p>
    <w:p w14:paraId="6B3D78B5" w14:textId="77777777" w:rsidR="00716BC7" w:rsidRPr="00ED7A9F" w:rsidRDefault="00716BC7" w:rsidP="00716BC7">
      <w:pPr>
        <w:keepNext/>
        <w:keepLines/>
        <w:spacing w:line="240" w:lineRule="auto"/>
        <w:rPr>
          <w:rFonts w:cstheme="minorHAnsi"/>
        </w:rPr>
      </w:pPr>
      <w:r w:rsidRPr="00ED7A9F">
        <w:rPr>
          <w:rFonts w:cstheme="minorHAnsi"/>
        </w:rPr>
        <w:lastRenderedPageBreak/>
        <w:t xml:space="preserve">Moderator </w:t>
      </w:r>
      <w:r>
        <w:rPr>
          <w:rFonts w:cstheme="minorHAnsi"/>
        </w:rPr>
        <w:t>for</w:t>
      </w:r>
      <w:r w:rsidRPr="00ED7A9F">
        <w:rPr>
          <w:rFonts w:cstheme="minorHAnsi"/>
        </w:rPr>
        <w:t xml:space="preserve"> </w:t>
      </w:r>
      <w:proofErr w:type="spellStart"/>
      <w:r w:rsidRPr="00ED7A9F">
        <w:rPr>
          <w:rFonts w:cstheme="minorHAnsi"/>
        </w:rPr>
        <w:t>Borgogno</w:t>
      </w:r>
      <w:proofErr w:type="spellEnd"/>
      <w:r w:rsidRPr="00ED7A9F">
        <w:rPr>
          <w:rFonts w:cstheme="minorHAnsi"/>
        </w:rPr>
        <w:t>, Data, Innovation and Competition in Finance</w:t>
      </w:r>
      <w:r>
        <w:rPr>
          <w:rFonts w:cstheme="minorHAnsi"/>
        </w:rPr>
        <w:t>: The Case of the Access to Account Rule</w:t>
      </w:r>
    </w:p>
    <w:p w14:paraId="304C9830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 w:rsidRPr="000F0477">
        <w:rPr>
          <w:rFonts w:cstheme="minorHAnsi"/>
        </w:rPr>
        <w:t xml:space="preserve">4th Oxford Business </w:t>
      </w:r>
      <w:r>
        <w:rPr>
          <w:rFonts w:cstheme="minorHAnsi"/>
        </w:rPr>
        <w:t>L</w:t>
      </w:r>
      <w:r w:rsidRPr="000F0477">
        <w:rPr>
          <w:rFonts w:cstheme="minorHAnsi"/>
        </w:rPr>
        <w:t>aw Blog Annual conference</w:t>
      </w:r>
      <w:r>
        <w:rPr>
          <w:rFonts w:cstheme="minorHAnsi"/>
        </w:rPr>
        <w:t>, Fintech Startups and Incumbent Players: Policy Challenges and Opportunities</w:t>
      </w:r>
    </w:p>
    <w:p w14:paraId="05773A97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 xml:space="preserve">Oxford 27 March 2020 </w:t>
      </w:r>
    </w:p>
    <w:p w14:paraId="4A0F5B77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</w:p>
    <w:p w14:paraId="4A34CF4D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>Developing Integrated Capital Markets within and across Borders – The Role of Access, Data and Transparency</w:t>
      </w:r>
    </w:p>
    <w:p w14:paraId="1C92E53D" w14:textId="4A710C75" w:rsidR="00BB06E0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>Symposium on Building the Financial System of the 21</w:t>
      </w:r>
      <w:r w:rsidRPr="00C11C8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Century: An Agenda for Europe and the United States, PIFS/Harvard law School, Washington 5-7 March 2020 (cancelled due to COVID-19 outbreak)</w:t>
      </w:r>
    </w:p>
    <w:p w14:paraId="464235DC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</w:p>
    <w:p w14:paraId="75191096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 xml:space="preserve">Moderating Martha Farah, PhD/UPenn; Joseph J. Finns, M.A., M.A.C.P., F.R.C.P. Weill Cornell Medical School/Yale Law School; Paul W. </w:t>
      </w:r>
      <w:proofErr w:type="spellStart"/>
      <w:r>
        <w:rPr>
          <w:rFonts w:cstheme="minorHAnsi"/>
        </w:rPr>
        <w:t>Glimcher</w:t>
      </w:r>
      <w:proofErr w:type="spellEnd"/>
      <w:r>
        <w:rPr>
          <w:rFonts w:cstheme="minorHAnsi"/>
        </w:rPr>
        <w:t xml:space="preserve"> NYU School of Medicine; Yasmin L. Hurd, PhD, School of Medicine Mount Sinai</w:t>
      </w:r>
    </w:p>
    <w:p w14:paraId="5D9E3843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>Neuroscience and Law Center, Cutting Edge Developments in Neuroscience and Law</w:t>
      </w:r>
    </w:p>
    <w:p w14:paraId="19E1403A" w14:textId="77777777" w:rsidR="00716BC7" w:rsidRPr="007B7A30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>25 February 2020</w:t>
      </w:r>
    </w:p>
    <w:p w14:paraId="7169BB66" w14:textId="77777777" w:rsidR="00716BC7" w:rsidRPr="007B7A30" w:rsidRDefault="00716BC7" w:rsidP="00716BC7">
      <w:pPr>
        <w:keepNext/>
        <w:keepLines/>
        <w:spacing w:line="240" w:lineRule="auto"/>
      </w:pPr>
    </w:p>
    <w:p w14:paraId="00471917" w14:textId="77777777" w:rsidR="00716BC7" w:rsidRPr="007B7A30" w:rsidRDefault="00716BC7" w:rsidP="00716BC7">
      <w:pPr>
        <w:keepNext/>
        <w:keepLines/>
        <w:spacing w:line="240" w:lineRule="auto"/>
      </w:pPr>
      <w:r w:rsidRPr="007B7A30">
        <w:t>Responsible A.I. Credit Scoring</w:t>
      </w:r>
    </w:p>
    <w:p w14:paraId="429A4386" w14:textId="237EDCCC" w:rsidR="00716BC7" w:rsidRDefault="00716BC7" w:rsidP="00716BC7">
      <w:pPr>
        <w:spacing w:line="240" w:lineRule="auto"/>
      </w:pPr>
      <w:r w:rsidRPr="007B7A30">
        <w:t>Max-Planck-</w:t>
      </w:r>
      <w:proofErr w:type="spellStart"/>
      <w:r w:rsidRPr="007B7A30">
        <w:t>Institut</w:t>
      </w:r>
      <w:proofErr w:type="spellEnd"/>
      <w:r w:rsidRPr="007B7A30">
        <w:t xml:space="preserve"> on Collective Goods, Bonn, 20 </w:t>
      </w:r>
      <w:r w:rsidRPr="00173CD3">
        <w:t>Januar</w:t>
      </w:r>
      <w:r>
        <w:t>y</w:t>
      </w:r>
      <w:r w:rsidRPr="00173CD3">
        <w:t xml:space="preserve"> 2020</w:t>
      </w:r>
    </w:p>
    <w:p w14:paraId="331D400D" w14:textId="77777777" w:rsidR="00716BC7" w:rsidRDefault="00716BC7" w:rsidP="00716BC7">
      <w:pPr>
        <w:spacing w:line="240" w:lineRule="auto"/>
      </w:pPr>
    </w:p>
    <w:p w14:paraId="042F08D2" w14:textId="77777777" w:rsidR="00716BC7" w:rsidRDefault="00716BC7" w:rsidP="00716BC7">
      <w:pPr>
        <w:keepNext/>
        <w:keepLines/>
        <w:spacing w:line="240" w:lineRule="auto"/>
        <w:rPr>
          <w:rFonts w:cstheme="minorHAnsi"/>
        </w:rPr>
      </w:pPr>
      <w:r>
        <w:rPr>
          <w:rFonts w:cstheme="minorHAnsi"/>
        </w:rPr>
        <w:t>Regulating Cryptocurrencies</w:t>
      </w:r>
    </w:p>
    <w:p w14:paraId="1B720874" w14:textId="77777777" w:rsidR="00716BC7" w:rsidRDefault="00716BC7" w:rsidP="00716BC7">
      <w:pPr>
        <w:spacing w:line="240" w:lineRule="auto"/>
        <w:rPr>
          <w:rFonts w:eastAsia="Malgun Gothic" w:cstheme="minorHAnsi"/>
          <w:bCs/>
        </w:rPr>
      </w:pPr>
      <w:r>
        <w:t xml:space="preserve">2020 Fordham </w:t>
      </w:r>
      <w:r w:rsidRPr="007B7A30">
        <w:rPr>
          <w:rFonts w:eastAsia="Malgun Gothic" w:cstheme="minorHAnsi"/>
          <w:bCs/>
        </w:rPr>
        <w:t xml:space="preserve">School of Law and SKKU Law School Institute of Legal Studies, </w:t>
      </w:r>
    </w:p>
    <w:p w14:paraId="00BB0B68" w14:textId="77777777" w:rsidR="00716BC7" w:rsidRDefault="00716BC7" w:rsidP="00716BC7">
      <w:pPr>
        <w:spacing w:line="240" w:lineRule="auto"/>
      </w:pPr>
      <w:r w:rsidRPr="007B7A30">
        <w:rPr>
          <w:rFonts w:eastAsia="Malgun Gothic" w:cstheme="minorHAnsi"/>
          <w:bCs/>
        </w:rPr>
        <w:t>Joint International Conference on Globalization and Convergence of Laws: Comparative Legal Approach</w:t>
      </w:r>
    </w:p>
    <w:p w14:paraId="22B15047" w14:textId="77777777" w:rsidR="00716BC7" w:rsidRPr="0058726C" w:rsidRDefault="00716BC7" w:rsidP="00716BC7">
      <w:pPr>
        <w:pStyle w:val="a"/>
        <w:wordWrap/>
        <w:snapToGrid/>
        <w:spacing w:line="360" w:lineRule="auto"/>
        <w:jc w:val="left"/>
        <w:rPr>
          <w:rFonts w:ascii="Times" w:hAnsi="Times" w:cstheme="minorHAnsi"/>
          <w:bCs/>
          <w:sz w:val="24"/>
          <w:szCs w:val="24"/>
        </w:rPr>
      </w:pPr>
      <w:r w:rsidRPr="0058726C">
        <w:rPr>
          <w:rFonts w:ascii="Times" w:hAnsi="Times" w:cstheme="minorHAnsi"/>
          <w:bCs/>
          <w:sz w:val="24"/>
          <w:szCs w:val="24"/>
        </w:rPr>
        <w:t>Fordham Law School, 8 January 2020</w:t>
      </w:r>
    </w:p>
    <w:p w14:paraId="07616FD1" w14:textId="77777777" w:rsidR="00716BC7" w:rsidRDefault="00716BC7" w:rsidP="00716BC7">
      <w:pPr>
        <w:spacing w:line="240" w:lineRule="auto"/>
      </w:pPr>
      <w:r>
        <w:t>Digital currencies and payments</w:t>
      </w:r>
    </w:p>
    <w:p w14:paraId="400B507F" w14:textId="77777777" w:rsidR="00716BC7" w:rsidRDefault="00716BC7" w:rsidP="00716BC7">
      <w:pPr>
        <w:spacing w:line="240" w:lineRule="auto"/>
      </w:pPr>
      <w:r>
        <w:t>IOSCO/PIFS program, Harvard Law School, 12 December 2019</w:t>
      </w:r>
    </w:p>
    <w:p w14:paraId="0D1BF6BD" w14:textId="77777777" w:rsidR="00716BC7" w:rsidRDefault="00716BC7" w:rsidP="00716BC7">
      <w:pPr>
        <w:spacing w:line="240" w:lineRule="auto"/>
      </w:pPr>
    </w:p>
    <w:p w14:paraId="04D55D52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Unternehmensstrafrecht als ein Bestandteil im System normativer Steuerung des Unternehmens</w:t>
      </w:r>
    </w:p>
    <w:p w14:paraId="0869D029" w14:textId="77777777" w:rsidR="00716BC7" w:rsidRPr="00BD22FB" w:rsidRDefault="00716BC7" w:rsidP="00716BC7">
      <w:pPr>
        <w:spacing w:line="240" w:lineRule="auto"/>
      </w:pPr>
      <w:r w:rsidRPr="00BD22FB">
        <w:t xml:space="preserve">(Corporate criminal law as a </w:t>
      </w:r>
      <w:r>
        <w:t>component</w:t>
      </w:r>
      <w:r w:rsidRPr="00BD22FB">
        <w:t xml:space="preserve"> </w:t>
      </w:r>
      <w:r>
        <w:t>in</w:t>
      </w:r>
      <w:r w:rsidRPr="00BD22FB">
        <w:t xml:space="preserve"> the system of normative control </w:t>
      </w:r>
      <w:r>
        <w:t xml:space="preserve">of the </w:t>
      </w:r>
      <w:r w:rsidRPr="00BD22FB">
        <w:t>company</w:t>
      </w:r>
      <w:r>
        <w:t>)</w:t>
      </w:r>
    </w:p>
    <w:p w14:paraId="5E635F4D" w14:textId="77777777" w:rsidR="00716BC7" w:rsidRPr="00614B49" w:rsidRDefault="00716BC7" w:rsidP="00716BC7">
      <w:pPr>
        <w:spacing w:line="240" w:lineRule="auto"/>
      </w:pPr>
      <w:r w:rsidRPr="00614B49">
        <w:t xml:space="preserve">Economy, Criminal Law, Ethics, X. </w:t>
      </w:r>
      <w:proofErr w:type="spellStart"/>
      <w:r w:rsidRPr="00614B49">
        <w:t>Symp</w:t>
      </w:r>
      <w:r>
        <w:t>osion</w:t>
      </w:r>
      <w:proofErr w:type="spellEnd"/>
      <w:r>
        <w:t>, 22/23 November 2019</w:t>
      </w:r>
    </w:p>
    <w:p w14:paraId="254C05D5" w14:textId="77777777" w:rsidR="00716BC7" w:rsidRPr="00614B49" w:rsidRDefault="00716BC7" w:rsidP="00716BC7">
      <w:pPr>
        <w:spacing w:line="240" w:lineRule="auto"/>
      </w:pPr>
    </w:p>
    <w:p w14:paraId="708895B1" w14:textId="77777777" w:rsidR="00716BC7" w:rsidRDefault="00716BC7" w:rsidP="00716BC7">
      <w:pPr>
        <w:spacing w:line="240" w:lineRule="auto"/>
      </w:pPr>
      <w:r>
        <w:t>Machine Learning, Credit Scoring and biased AI</w:t>
      </w:r>
    </w:p>
    <w:p w14:paraId="42E394EC" w14:textId="77777777" w:rsidR="00716BC7" w:rsidRDefault="00716BC7" w:rsidP="00716BC7">
      <w:pPr>
        <w:spacing w:line="240" w:lineRule="auto"/>
      </w:pPr>
      <w:r>
        <w:t>Privacy Research Group, NYU Law School, 25 October 2019</w:t>
      </w:r>
    </w:p>
    <w:p w14:paraId="2FD4F1AF" w14:textId="77777777" w:rsidR="00716BC7" w:rsidRDefault="00716BC7" w:rsidP="00716BC7">
      <w:pPr>
        <w:spacing w:line="240" w:lineRule="auto"/>
      </w:pPr>
    </w:p>
    <w:p w14:paraId="17489926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 xml:space="preserve">Panel </w:t>
      </w:r>
      <w:proofErr w:type="spellStart"/>
      <w:r w:rsidRPr="00D56C99">
        <w:rPr>
          <w:lang w:val="de-DE"/>
        </w:rPr>
        <w:t>contribution</w:t>
      </w:r>
      <w:proofErr w:type="spellEnd"/>
    </w:p>
    <w:p w14:paraId="572800B9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Künstliche Intelligenz – wie können wir Algorithmen vertrauen?</w:t>
      </w:r>
    </w:p>
    <w:p w14:paraId="34B0A2B5" w14:textId="77777777" w:rsidR="00716BC7" w:rsidRPr="00AF5007" w:rsidRDefault="00716BC7" w:rsidP="00716BC7">
      <w:pPr>
        <w:spacing w:line="240" w:lineRule="auto"/>
      </w:pPr>
      <w:r w:rsidRPr="00AF5007">
        <w:t>(Artificial intelligence - how can we trust algorithms?</w:t>
      </w:r>
      <w:r>
        <w:t>)</w:t>
      </w:r>
    </w:p>
    <w:p w14:paraId="775ECA00" w14:textId="77777777" w:rsidR="00716BC7" w:rsidRPr="00E7488D" w:rsidRDefault="00716BC7" w:rsidP="00716BC7">
      <w:pPr>
        <w:spacing w:line="240" w:lineRule="auto"/>
      </w:pPr>
      <w:r w:rsidRPr="00E7488D">
        <w:t>Bad Homburg Conference 2019, 1</w:t>
      </w:r>
      <w:r>
        <w:t xml:space="preserve">9 </w:t>
      </w:r>
      <w:r w:rsidRPr="00E7488D">
        <w:t>September 2019</w:t>
      </w:r>
    </w:p>
    <w:p w14:paraId="0A785073" w14:textId="77777777" w:rsidR="00716BC7" w:rsidRPr="00E7488D" w:rsidRDefault="00716BC7" w:rsidP="00716BC7">
      <w:pPr>
        <w:spacing w:line="240" w:lineRule="auto"/>
      </w:pPr>
    </w:p>
    <w:p w14:paraId="44B2F55D" w14:textId="77777777" w:rsidR="00716BC7" w:rsidRDefault="00716BC7" w:rsidP="00716BC7">
      <w:pPr>
        <w:spacing w:line="240" w:lineRule="auto"/>
      </w:pPr>
      <w:r>
        <w:t>On regulatory arbitrage</w:t>
      </w:r>
    </w:p>
    <w:p w14:paraId="207BC35C" w14:textId="77777777" w:rsidR="00716BC7" w:rsidRDefault="00716BC7" w:rsidP="00716BC7">
      <w:pPr>
        <w:spacing w:line="240" w:lineRule="auto"/>
      </w:pPr>
      <w:r>
        <w:t>Penn Law School Faculty Workshop, 17 September 2019</w:t>
      </w:r>
    </w:p>
    <w:p w14:paraId="47025A57" w14:textId="77777777" w:rsidR="00716BC7" w:rsidRDefault="00716BC7" w:rsidP="00716BC7">
      <w:pPr>
        <w:spacing w:line="240" w:lineRule="auto"/>
      </w:pPr>
    </w:p>
    <w:p w14:paraId="4050A51B" w14:textId="77777777" w:rsidR="00716BC7" w:rsidRDefault="00716BC7" w:rsidP="00716BC7">
      <w:pPr>
        <w:keepNext/>
        <w:keepLines/>
        <w:spacing w:line="240" w:lineRule="auto"/>
      </w:pPr>
      <w:r>
        <w:t xml:space="preserve">Author Meets Critics – </w:t>
      </w:r>
    </w:p>
    <w:p w14:paraId="70DACD0E" w14:textId="77777777" w:rsidR="00716BC7" w:rsidRDefault="00716BC7" w:rsidP="00716BC7">
      <w:pPr>
        <w:keepNext/>
        <w:keepLines/>
        <w:spacing w:line="240" w:lineRule="auto"/>
      </w:pPr>
      <w:r>
        <w:t xml:space="preserve">Discussion of my book “Economic Transplants”, critics: </w:t>
      </w:r>
      <w:proofErr w:type="spellStart"/>
      <w:r>
        <w:t>Reuven</w:t>
      </w:r>
      <w:proofErr w:type="spellEnd"/>
      <w:r>
        <w:t xml:space="preserve"> </w:t>
      </w:r>
      <w:proofErr w:type="spellStart"/>
      <w:r>
        <w:t>Avi</w:t>
      </w:r>
      <w:proofErr w:type="spellEnd"/>
      <w:r>
        <w:t xml:space="preserve">-Jonah, John </w:t>
      </w:r>
      <w:proofErr w:type="spellStart"/>
      <w:r>
        <w:t>Cioffi</w:t>
      </w:r>
      <w:proofErr w:type="spellEnd"/>
      <w:r>
        <w:t>, Matthias Thiemann</w:t>
      </w:r>
    </w:p>
    <w:p w14:paraId="14F98089" w14:textId="77777777" w:rsidR="00716BC7" w:rsidRDefault="00716BC7" w:rsidP="00716BC7">
      <w:pPr>
        <w:spacing w:line="240" w:lineRule="auto"/>
      </w:pPr>
      <w:r>
        <w:t>SASE Conference 2019, NYC, 28 June 2019</w:t>
      </w:r>
    </w:p>
    <w:p w14:paraId="42C4B15B" w14:textId="77777777" w:rsidR="00716BC7" w:rsidRDefault="00716BC7" w:rsidP="00716BC7">
      <w:pPr>
        <w:spacing w:line="240" w:lineRule="auto"/>
      </w:pPr>
    </w:p>
    <w:p w14:paraId="0ED4C2A2" w14:textId="77777777" w:rsidR="00716BC7" w:rsidRDefault="00716BC7" w:rsidP="00716BC7">
      <w:pPr>
        <w:keepNext/>
        <w:keepLines/>
        <w:spacing w:line="240" w:lineRule="auto"/>
      </w:pPr>
      <w:r w:rsidRPr="004A381A">
        <w:lastRenderedPageBreak/>
        <w:t>Regulatory Arbitrage, Economic Clichés and Expert Talk,</w:t>
      </w:r>
    </w:p>
    <w:p w14:paraId="133B7AC6" w14:textId="77777777" w:rsidR="00716BC7" w:rsidRPr="004A381A" w:rsidRDefault="00716BC7" w:rsidP="00716BC7">
      <w:pPr>
        <w:keepNext/>
        <w:keepLines/>
        <w:spacing w:line="240" w:lineRule="auto"/>
      </w:pPr>
      <w:r>
        <w:t>SASE Conference 2019, NYC, 28 June 2019</w:t>
      </w:r>
    </w:p>
    <w:p w14:paraId="6BE1C110" w14:textId="77777777" w:rsidR="00716BC7" w:rsidRDefault="00716BC7" w:rsidP="00716BC7">
      <w:pPr>
        <w:spacing w:line="240" w:lineRule="auto"/>
      </w:pPr>
    </w:p>
    <w:p w14:paraId="4EB8796C" w14:textId="77777777" w:rsidR="00716BC7" w:rsidRDefault="00716BC7" w:rsidP="00716BC7">
      <w:pPr>
        <w:spacing w:line="240" w:lineRule="auto"/>
      </w:pPr>
      <w:r>
        <w:t>Initial coin offerings</w:t>
      </w:r>
    </w:p>
    <w:p w14:paraId="161712C2" w14:textId="77777777" w:rsidR="00716BC7" w:rsidRPr="004A381A" w:rsidRDefault="00716BC7" w:rsidP="00716BC7">
      <w:pPr>
        <w:spacing w:line="240" w:lineRule="auto"/>
      </w:pPr>
      <w:r>
        <w:t>IOSCO/PIFS program, Harvard Law School, 6 December 2018</w:t>
      </w:r>
    </w:p>
    <w:p w14:paraId="0E374CE2" w14:textId="77777777" w:rsidR="00716BC7" w:rsidRDefault="00716BC7" w:rsidP="00716BC7">
      <w:pPr>
        <w:spacing w:line="240" w:lineRule="auto"/>
      </w:pPr>
    </w:p>
    <w:p w14:paraId="7A8D3A9D" w14:textId="77777777" w:rsidR="00716BC7" w:rsidRDefault="00716BC7" w:rsidP="00716BC7">
      <w:pPr>
        <w:spacing w:line="240" w:lineRule="auto"/>
      </w:pPr>
      <w:r>
        <w:t>Panel contribution</w:t>
      </w:r>
    </w:p>
    <w:p w14:paraId="170E81F0" w14:textId="77777777" w:rsidR="00716BC7" w:rsidRDefault="00716BC7" w:rsidP="00716BC7">
      <w:pPr>
        <w:spacing w:line="240" w:lineRule="auto"/>
      </w:pPr>
      <w:r>
        <w:t>European Finance – no more room for variety?</w:t>
      </w:r>
    </w:p>
    <w:p w14:paraId="229B930E" w14:textId="77777777" w:rsidR="00716BC7" w:rsidRDefault="00716BC7" w:rsidP="00716BC7">
      <w:pPr>
        <w:spacing w:line="240" w:lineRule="auto"/>
      </w:pPr>
      <w:r>
        <w:t>6</w:t>
      </w:r>
      <w:r w:rsidRPr="00614B49">
        <w:rPr>
          <w:vertAlign w:val="superscript"/>
        </w:rPr>
        <w:t>th</w:t>
      </w:r>
      <w:r>
        <w:t xml:space="preserve"> Frankfurt Conference on Financial Market Policy, 14 December 2018</w:t>
      </w:r>
    </w:p>
    <w:p w14:paraId="456542C6" w14:textId="77777777" w:rsidR="00716BC7" w:rsidRDefault="00716BC7" w:rsidP="00716BC7">
      <w:pPr>
        <w:spacing w:line="240" w:lineRule="auto"/>
      </w:pPr>
    </w:p>
    <w:p w14:paraId="58BF72BB" w14:textId="77777777" w:rsidR="00716BC7" w:rsidRPr="004F0119" w:rsidRDefault="00716BC7" w:rsidP="00716BC7">
      <w:pPr>
        <w:spacing w:line="240" w:lineRule="auto"/>
      </w:pPr>
      <w:r w:rsidRPr="004F0119">
        <w:t>Initial coin offerings - where do we stand and should we move?</w:t>
      </w:r>
    </w:p>
    <w:p w14:paraId="43A150BE" w14:textId="77777777" w:rsidR="00716BC7" w:rsidRPr="004F0119" w:rsidRDefault="00716BC7" w:rsidP="00716BC7">
      <w:pPr>
        <w:spacing w:line="240" w:lineRule="auto"/>
      </w:pPr>
      <w:r w:rsidRPr="004F0119">
        <w:t xml:space="preserve">German-French </w:t>
      </w:r>
      <w:proofErr w:type="spellStart"/>
      <w:r w:rsidRPr="004F0119">
        <w:t>Symposion</w:t>
      </w:r>
      <w:proofErr w:type="spellEnd"/>
      <w:r w:rsidRPr="004F0119">
        <w:t>, MPI Hamburg, 7</w:t>
      </w:r>
      <w:r>
        <w:t xml:space="preserve"> </w:t>
      </w:r>
      <w:r w:rsidRPr="004F0119">
        <w:t>July 2018</w:t>
      </w:r>
    </w:p>
    <w:p w14:paraId="1EA35694" w14:textId="77777777" w:rsidR="00716BC7" w:rsidRPr="004F0119" w:rsidRDefault="00716BC7" w:rsidP="00716BC7">
      <w:pPr>
        <w:spacing w:line="240" w:lineRule="auto"/>
      </w:pPr>
    </w:p>
    <w:p w14:paraId="7B3D1F2A" w14:textId="77777777" w:rsidR="00716BC7" w:rsidRPr="004F0119" w:rsidRDefault="00716BC7" w:rsidP="00716BC7">
      <w:pPr>
        <w:spacing w:line="240" w:lineRule="auto"/>
      </w:pPr>
      <w:r w:rsidRPr="004F0119">
        <w:t xml:space="preserve">Global institutional shareholders </w:t>
      </w:r>
    </w:p>
    <w:p w14:paraId="72E17F52" w14:textId="77777777" w:rsidR="00716BC7" w:rsidRPr="004F0119" w:rsidRDefault="00716BC7" w:rsidP="00716BC7">
      <w:pPr>
        <w:spacing w:line="240" w:lineRule="auto"/>
      </w:pPr>
      <w:r w:rsidRPr="004F0119">
        <w:t xml:space="preserve">German-Asian </w:t>
      </w:r>
      <w:proofErr w:type="spellStart"/>
      <w:r w:rsidRPr="004F0119">
        <w:t>Symposion</w:t>
      </w:r>
      <w:proofErr w:type="spellEnd"/>
      <w:r w:rsidRPr="004F0119">
        <w:t>, Beijing University, 23</w:t>
      </w:r>
      <w:r>
        <w:t xml:space="preserve"> </w:t>
      </w:r>
      <w:r w:rsidRPr="004F0119">
        <w:t>March 2018</w:t>
      </w:r>
    </w:p>
    <w:p w14:paraId="4FDE70BD" w14:textId="77777777" w:rsidR="00716BC7" w:rsidRPr="004F0119" w:rsidRDefault="00716BC7" w:rsidP="00716BC7">
      <w:pPr>
        <w:spacing w:line="240" w:lineRule="auto"/>
      </w:pPr>
    </w:p>
    <w:p w14:paraId="2397D78E" w14:textId="77777777" w:rsidR="00716BC7" w:rsidRPr="004F0119" w:rsidRDefault="00716BC7" w:rsidP="00716BC7">
      <w:pPr>
        <w:spacing w:line="240" w:lineRule="auto"/>
      </w:pPr>
      <w:r w:rsidRPr="004F0119">
        <w:t>Virtual corporations and virtual funding?</w:t>
      </w:r>
    </w:p>
    <w:p w14:paraId="133534B6" w14:textId="77777777" w:rsidR="00716BC7" w:rsidRPr="004F0119" w:rsidRDefault="00716BC7" w:rsidP="00716BC7">
      <w:pPr>
        <w:spacing w:line="240" w:lineRule="auto"/>
      </w:pPr>
      <w:r w:rsidRPr="004F0119">
        <w:t>Oxford Business Law Workshop, 15</w:t>
      </w:r>
      <w:r>
        <w:t xml:space="preserve"> </w:t>
      </w:r>
      <w:r w:rsidRPr="004F0119">
        <w:t>November 2017</w:t>
      </w:r>
    </w:p>
    <w:p w14:paraId="7B33E096" w14:textId="77777777" w:rsidR="00716BC7" w:rsidRPr="004F0119" w:rsidRDefault="00716BC7" w:rsidP="00716BC7">
      <w:pPr>
        <w:spacing w:line="240" w:lineRule="auto"/>
      </w:pPr>
    </w:p>
    <w:p w14:paraId="103BDCB9" w14:textId="77777777" w:rsidR="00716BC7" w:rsidRPr="004F0119" w:rsidRDefault="00716BC7" w:rsidP="00716BC7">
      <w:pPr>
        <w:spacing w:line="240" w:lineRule="auto"/>
      </w:pPr>
      <w:r w:rsidRPr="004F0119">
        <w:t>Economic transplants - book launch</w:t>
      </w:r>
    </w:p>
    <w:p w14:paraId="638F4CFE" w14:textId="77777777" w:rsidR="00716BC7" w:rsidRPr="00C261CE" w:rsidRDefault="00716BC7" w:rsidP="00716BC7">
      <w:pPr>
        <w:spacing w:line="240" w:lineRule="auto"/>
      </w:pPr>
      <w:r w:rsidRPr="004F0119">
        <w:t>LSE, 14</w:t>
      </w:r>
      <w:r>
        <w:t xml:space="preserve"> </w:t>
      </w:r>
      <w:r w:rsidRPr="00C261CE">
        <w:t>November 2017</w:t>
      </w:r>
    </w:p>
    <w:p w14:paraId="0B89976D" w14:textId="77777777" w:rsidR="00716BC7" w:rsidRPr="00C261CE" w:rsidRDefault="00716BC7" w:rsidP="00716BC7">
      <w:pPr>
        <w:spacing w:line="240" w:lineRule="auto"/>
      </w:pPr>
    </w:p>
    <w:p w14:paraId="3882DA55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Digitales Finanzwesen - vom Bargeld zu virtuellen Währungen?</w:t>
      </w:r>
    </w:p>
    <w:p w14:paraId="0EFECF64" w14:textId="77777777" w:rsidR="00716BC7" w:rsidRPr="004F0119" w:rsidRDefault="00716BC7" w:rsidP="00716BC7">
      <w:pPr>
        <w:spacing w:line="240" w:lineRule="auto"/>
      </w:pPr>
      <w:r w:rsidRPr="004F0119">
        <w:t>(Digital Finance – from fiat currency to virtual currency?)</w:t>
      </w:r>
    </w:p>
    <w:p w14:paraId="6066E101" w14:textId="77777777" w:rsidR="00716BC7" w:rsidRPr="004F0119" w:rsidRDefault="00716BC7" w:rsidP="00716BC7">
      <w:pPr>
        <w:spacing w:line="240" w:lineRule="auto"/>
      </w:pPr>
      <w:r w:rsidRPr="004F0119">
        <w:t xml:space="preserve">German Association of Private Law </w:t>
      </w:r>
      <w:proofErr w:type="spellStart"/>
      <w:r w:rsidRPr="004F0119">
        <w:t>Reachers</w:t>
      </w:r>
      <w:proofErr w:type="spellEnd"/>
      <w:r w:rsidRPr="004F0119">
        <w:t>, 11</w:t>
      </w:r>
      <w:r>
        <w:t xml:space="preserve"> </w:t>
      </w:r>
      <w:r w:rsidRPr="004F0119">
        <w:t>September 2017, University of Zürich</w:t>
      </w:r>
    </w:p>
    <w:p w14:paraId="65D2CD9C" w14:textId="77777777" w:rsidR="00716BC7" w:rsidRPr="004F0119" w:rsidRDefault="00716BC7" w:rsidP="00716BC7">
      <w:pPr>
        <w:spacing w:line="240" w:lineRule="auto"/>
      </w:pPr>
    </w:p>
    <w:p w14:paraId="6326C93D" w14:textId="77777777" w:rsidR="00716BC7" w:rsidRPr="004F0119" w:rsidRDefault="00716BC7" w:rsidP="00716BC7">
      <w:pPr>
        <w:spacing w:line="240" w:lineRule="auto"/>
      </w:pPr>
      <w:r w:rsidRPr="004F0119">
        <w:t>Cross-sectoral regulation</w:t>
      </w:r>
    </w:p>
    <w:p w14:paraId="620314C1" w14:textId="77777777" w:rsidR="00716BC7" w:rsidRPr="004F0119" w:rsidRDefault="00716BC7" w:rsidP="00716BC7">
      <w:pPr>
        <w:spacing w:line="240" w:lineRule="auto"/>
      </w:pPr>
      <w:r w:rsidRPr="004F0119">
        <w:t xml:space="preserve">KU Leuven, Jan </w:t>
      </w:r>
      <w:proofErr w:type="spellStart"/>
      <w:r w:rsidRPr="004F0119">
        <w:t>Ronse</w:t>
      </w:r>
      <w:proofErr w:type="spellEnd"/>
      <w:r w:rsidRPr="004F0119">
        <w:t xml:space="preserve"> </w:t>
      </w:r>
      <w:proofErr w:type="spellStart"/>
      <w:r w:rsidRPr="004F0119">
        <w:t>Instituut</w:t>
      </w:r>
      <w:proofErr w:type="spellEnd"/>
      <w:r w:rsidRPr="004F0119">
        <w:t>, Kick-off meeting, 7</w:t>
      </w:r>
      <w:r>
        <w:t xml:space="preserve"> </w:t>
      </w:r>
      <w:r w:rsidRPr="004F0119">
        <w:t>Februar</w:t>
      </w:r>
      <w:r>
        <w:t>y</w:t>
      </w:r>
      <w:r w:rsidRPr="004F0119">
        <w:t xml:space="preserve"> 2017</w:t>
      </w:r>
    </w:p>
    <w:p w14:paraId="2B402A06" w14:textId="77777777" w:rsidR="00716BC7" w:rsidRPr="004F0119" w:rsidRDefault="00716BC7" w:rsidP="00716BC7">
      <w:pPr>
        <w:spacing w:line="240" w:lineRule="auto"/>
      </w:pPr>
    </w:p>
    <w:p w14:paraId="5798EFF6" w14:textId="77777777" w:rsidR="00716BC7" w:rsidRPr="004F0119" w:rsidRDefault="00716BC7" w:rsidP="00716BC7">
      <w:pPr>
        <w:keepNext/>
        <w:keepLines/>
        <w:spacing w:line="240" w:lineRule="auto"/>
      </w:pPr>
      <w:r w:rsidRPr="004F0119">
        <w:t>Economic Transplants and Transnational Law - a dialogue</w:t>
      </w:r>
    </w:p>
    <w:p w14:paraId="213A8AA8" w14:textId="77777777" w:rsidR="00716BC7" w:rsidRPr="004F0119" w:rsidRDefault="00716BC7" w:rsidP="00716BC7">
      <w:pPr>
        <w:keepNext/>
        <w:keepLines/>
        <w:spacing w:line="240" w:lineRule="auto"/>
      </w:pPr>
      <w:proofErr w:type="spellStart"/>
      <w:r w:rsidRPr="004F0119">
        <w:t>Séminaire</w:t>
      </w:r>
      <w:proofErr w:type="spellEnd"/>
      <w:r w:rsidRPr="004F0119">
        <w:t xml:space="preserve"> PILAGG, Paris, 25 November 2016</w:t>
      </w:r>
    </w:p>
    <w:p w14:paraId="5DE62426" w14:textId="77777777" w:rsidR="00716BC7" w:rsidRPr="004F0119" w:rsidRDefault="00716BC7" w:rsidP="00716BC7">
      <w:pPr>
        <w:spacing w:line="240" w:lineRule="auto"/>
      </w:pPr>
    </w:p>
    <w:p w14:paraId="6105ACD4" w14:textId="77777777" w:rsidR="00716BC7" w:rsidRPr="004F0119" w:rsidRDefault="00716BC7" w:rsidP="00716BC7">
      <w:pPr>
        <w:spacing w:line="240" w:lineRule="auto"/>
      </w:pPr>
      <w:r w:rsidRPr="004F0119">
        <w:t>Insider Trading and Director’s Dealings in Germany and France</w:t>
      </w:r>
    </w:p>
    <w:p w14:paraId="31C437DA" w14:textId="77777777" w:rsidR="00716BC7" w:rsidRPr="004F0119" w:rsidRDefault="00716BC7" w:rsidP="00716BC7">
      <w:pPr>
        <w:spacing w:line="240" w:lineRule="auto"/>
      </w:pPr>
      <w:proofErr w:type="spellStart"/>
      <w:r w:rsidRPr="004F0119">
        <w:t>Symposion</w:t>
      </w:r>
      <w:proofErr w:type="spellEnd"/>
      <w:r w:rsidRPr="004F0119">
        <w:t xml:space="preserve"> Cabinet Gide, Paris, 24</w:t>
      </w:r>
      <w:r>
        <w:t xml:space="preserve"> </w:t>
      </w:r>
      <w:r w:rsidRPr="004F0119">
        <w:t>November 2016</w:t>
      </w:r>
    </w:p>
    <w:p w14:paraId="4F9F832E" w14:textId="77777777" w:rsidR="00716BC7" w:rsidRPr="004F0119" w:rsidRDefault="00716BC7" w:rsidP="00716BC7">
      <w:pPr>
        <w:spacing w:line="240" w:lineRule="auto"/>
      </w:pPr>
    </w:p>
    <w:p w14:paraId="35786583" w14:textId="77777777" w:rsidR="00716BC7" w:rsidRPr="004F0119" w:rsidRDefault="00716BC7" w:rsidP="00716BC7">
      <w:pPr>
        <w:spacing w:line="240" w:lineRule="auto"/>
      </w:pPr>
      <w:r w:rsidRPr="004F0119">
        <w:t>Shareholder activism</w:t>
      </w:r>
    </w:p>
    <w:p w14:paraId="66DB1859" w14:textId="77777777" w:rsidR="00716BC7" w:rsidRPr="004C0D4A" w:rsidRDefault="00716BC7" w:rsidP="00716BC7">
      <w:pPr>
        <w:spacing w:line="240" w:lineRule="auto"/>
      </w:pPr>
      <w:r w:rsidRPr="004C0D4A">
        <w:t xml:space="preserve">German-French </w:t>
      </w:r>
      <w:proofErr w:type="spellStart"/>
      <w:r w:rsidRPr="004C0D4A">
        <w:t>Symposion</w:t>
      </w:r>
      <w:proofErr w:type="spellEnd"/>
      <w:r w:rsidRPr="004C0D4A">
        <w:t>, MPI Hamburg, 7</w:t>
      </w:r>
      <w:r>
        <w:t xml:space="preserve"> </w:t>
      </w:r>
      <w:r w:rsidRPr="004C0D4A">
        <w:t>July 2016</w:t>
      </w:r>
    </w:p>
    <w:p w14:paraId="7E41EC4A" w14:textId="77777777" w:rsidR="00716BC7" w:rsidRPr="004C0D4A" w:rsidRDefault="00716BC7" w:rsidP="00716BC7">
      <w:pPr>
        <w:spacing w:line="240" w:lineRule="auto"/>
      </w:pPr>
    </w:p>
    <w:p w14:paraId="4212CA8B" w14:textId="77777777" w:rsidR="00716BC7" w:rsidRPr="00D56C99" w:rsidRDefault="00716BC7" w:rsidP="00716BC7">
      <w:pPr>
        <w:keepNext/>
        <w:keepLines/>
        <w:spacing w:line="240" w:lineRule="auto"/>
        <w:rPr>
          <w:lang w:val="de-DE"/>
        </w:rPr>
      </w:pPr>
      <w:r w:rsidRPr="00D56C99">
        <w:rPr>
          <w:lang w:val="de-DE"/>
        </w:rPr>
        <w:t>Die Marktmissbrauchsverordnung 2016 - eine Kooperation von Judikative und Legislative</w:t>
      </w:r>
    </w:p>
    <w:p w14:paraId="65F1137B" w14:textId="77777777" w:rsidR="00716BC7" w:rsidRPr="004F0119" w:rsidRDefault="00716BC7" w:rsidP="00716BC7">
      <w:pPr>
        <w:spacing w:line="240" w:lineRule="auto"/>
      </w:pPr>
      <w:r w:rsidRPr="004F0119">
        <w:t>(The MAR 2016 – a cooperation of adjudication and legislation)</w:t>
      </w:r>
    </w:p>
    <w:p w14:paraId="6C853F7B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Arbeitskreis Wirtschaft und Recht, Leverkusen, 3 June 2016</w:t>
      </w:r>
    </w:p>
    <w:p w14:paraId="4EE13DCE" w14:textId="77777777" w:rsidR="00716BC7" w:rsidRPr="00D56C99" w:rsidRDefault="00716BC7" w:rsidP="00716BC7">
      <w:pPr>
        <w:spacing w:line="240" w:lineRule="auto"/>
        <w:rPr>
          <w:lang w:val="de-DE"/>
        </w:rPr>
      </w:pPr>
    </w:p>
    <w:p w14:paraId="320CE5DF" w14:textId="77777777" w:rsidR="00716BC7" w:rsidRPr="004C0D4A" w:rsidRDefault="00716BC7" w:rsidP="00716BC7">
      <w:pPr>
        <w:spacing w:line="240" w:lineRule="auto"/>
      </w:pPr>
      <w:r w:rsidRPr="004F0119">
        <w:t xml:space="preserve">Who is afraid of reasonable investors? - on lawmaking for financial markets, 14 </w:t>
      </w:r>
      <w:r w:rsidRPr="004C0D4A">
        <w:t>April 2016</w:t>
      </w:r>
    </w:p>
    <w:p w14:paraId="33DB7447" w14:textId="77777777" w:rsidR="00716BC7" w:rsidRPr="004F0119" w:rsidRDefault="00716BC7" w:rsidP="00716BC7">
      <w:pPr>
        <w:spacing w:line="240" w:lineRule="auto"/>
        <w:rPr>
          <w:lang w:val="fr-FR"/>
        </w:rPr>
      </w:pPr>
      <w:r w:rsidRPr="004F0119">
        <w:rPr>
          <w:lang w:val="fr-FR"/>
        </w:rPr>
        <w:t xml:space="preserve">Séminaires du programme doctoral de Droit, </w:t>
      </w:r>
      <w:proofErr w:type="spellStart"/>
      <w:r w:rsidRPr="004F0119">
        <w:rPr>
          <w:lang w:val="fr-FR"/>
        </w:rPr>
        <w:t>SciencesPo</w:t>
      </w:r>
      <w:proofErr w:type="spellEnd"/>
      <w:r w:rsidRPr="004F0119">
        <w:rPr>
          <w:lang w:val="fr-FR"/>
        </w:rPr>
        <w:t>, Ecole de Droit, Paris</w:t>
      </w:r>
    </w:p>
    <w:p w14:paraId="0508A096" w14:textId="77777777" w:rsidR="00716BC7" w:rsidRPr="004F0119" w:rsidRDefault="00716BC7" w:rsidP="00716BC7">
      <w:pPr>
        <w:spacing w:line="240" w:lineRule="auto"/>
        <w:rPr>
          <w:lang w:val="fr-FR"/>
        </w:rPr>
      </w:pPr>
    </w:p>
    <w:p w14:paraId="37055756" w14:textId="77777777" w:rsidR="00716BC7" w:rsidRPr="00D56C99" w:rsidRDefault="00716BC7" w:rsidP="00716BC7">
      <w:pPr>
        <w:spacing w:line="240" w:lineRule="auto"/>
        <w:rPr>
          <w:lang w:val="de-DE"/>
        </w:rPr>
      </w:pPr>
      <w:proofErr w:type="spellStart"/>
      <w:r w:rsidRPr="00D56C99">
        <w:rPr>
          <w:lang w:val="de-DE"/>
        </w:rPr>
        <w:t>Economic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transplants</w:t>
      </w:r>
      <w:proofErr w:type="spellEnd"/>
      <w:r w:rsidRPr="00D56C99">
        <w:rPr>
          <w:lang w:val="de-DE"/>
        </w:rPr>
        <w:t xml:space="preserve"> in der Marktmissbrauchsverordnung, 8 April 2016</w:t>
      </w:r>
    </w:p>
    <w:p w14:paraId="62F44499" w14:textId="77777777" w:rsidR="00716BC7" w:rsidRPr="004F0119" w:rsidRDefault="00716BC7" w:rsidP="00716BC7">
      <w:pPr>
        <w:spacing w:line="240" w:lineRule="auto"/>
      </w:pPr>
      <w:r w:rsidRPr="004F0119">
        <w:t>(Economic transplants in the Market Abuse Regulation)</w:t>
      </w:r>
    </w:p>
    <w:p w14:paraId="4FF890ED" w14:textId="77777777" w:rsidR="00716BC7" w:rsidRPr="004F0119" w:rsidRDefault="00716BC7" w:rsidP="00716BC7">
      <w:pPr>
        <w:spacing w:line="240" w:lineRule="auto"/>
      </w:pPr>
      <w:proofErr w:type="spellStart"/>
      <w:r w:rsidRPr="004F0119">
        <w:t>Symposion</w:t>
      </w:r>
      <w:proofErr w:type="spellEnd"/>
      <w:r w:rsidRPr="004F0119">
        <w:t xml:space="preserve"> on the Market Abuse Regulation, Friedrich-Alexander </w:t>
      </w:r>
      <w:proofErr w:type="spellStart"/>
      <w:r w:rsidRPr="004F0119">
        <w:t>Universität</w:t>
      </w:r>
      <w:proofErr w:type="spellEnd"/>
      <w:r w:rsidRPr="004F0119">
        <w:t xml:space="preserve"> </w:t>
      </w:r>
      <w:proofErr w:type="spellStart"/>
      <w:r w:rsidRPr="004F0119">
        <w:t>Nürnberg</w:t>
      </w:r>
      <w:proofErr w:type="spellEnd"/>
    </w:p>
    <w:p w14:paraId="0DDCAACB" w14:textId="77777777" w:rsidR="00716BC7" w:rsidRPr="004F0119" w:rsidRDefault="00716BC7" w:rsidP="00716BC7">
      <w:pPr>
        <w:spacing w:line="240" w:lineRule="auto"/>
      </w:pPr>
    </w:p>
    <w:p w14:paraId="6590E74A" w14:textId="77777777" w:rsidR="00716BC7" w:rsidRPr="004F0119" w:rsidRDefault="00716BC7" w:rsidP="00716BC7">
      <w:pPr>
        <w:spacing w:line="240" w:lineRule="auto"/>
      </w:pPr>
      <w:r w:rsidRPr="004F0119">
        <w:t>Economic Transplants - on lawmaking for financial markets</w:t>
      </w:r>
    </w:p>
    <w:p w14:paraId="0305EEE8" w14:textId="77777777" w:rsidR="00716BC7" w:rsidRPr="004F0119" w:rsidRDefault="00716BC7" w:rsidP="00716BC7">
      <w:pPr>
        <w:spacing w:line="240" w:lineRule="auto"/>
      </w:pPr>
      <w:proofErr w:type="spellStart"/>
      <w:r w:rsidRPr="004F0119">
        <w:t>Law&amp;Economics</w:t>
      </w:r>
      <w:proofErr w:type="spellEnd"/>
      <w:r w:rsidRPr="004F0119">
        <w:t xml:space="preserve"> Lunch Talk, Columbia Law School, 29</w:t>
      </w:r>
      <w:r>
        <w:t xml:space="preserve"> F</w:t>
      </w:r>
      <w:r w:rsidRPr="004F0119">
        <w:t>ebruar</w:t>
      </w:r>
      <w:r>
        <w:t>y</w:t>
      </w:r>
      <w:r w:rsidRPr="004F0119">
        <w:t xml:space="preserve"> 2016</w:t>
      </w:r>
    </w:p>
    <w:p w14:paraId="15AAF8C6" w14:textId="77777777" w:rsidR="00716BC7" w:rsidRPr="004F0119" w:rsidRDefault="00716BC7" w:rsidP="00716BC7">
      <w:pPr>
        <w:spacing w:line="240" w:lineRule="auto"/>
      </w:pPr>
    </w:p>
    <w:p w14:paraId="5B168A23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Regulierungsstrategien im Wirtschaftsstrafrecht, 20 November 2015</w:t>
      </w:r>
    </w:p>
    <w:p w14:paraId="0ABE5921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(</w:t>
      </w:r>
      <w:proofErr w:type="spellStart"/>
      <w:r w:rsidRPr="00D56C99">
        <w:rPr>
          <w:lang w:val="de-DE"/>
        </w:rPr>
        <w:t>Regulatory</w:t>
      </w:r>
      <w:proofErr w:type="spellEnd"/>
      <w:r w:rsidRPr="00D56C99">
        <w:rPr>
          <w:lang w:val="de-DE"/>
        </w:rPr>
        <w:t xml:space="preserve"> </w:t>
      </w:r>
      <w:proofErr w:type="spellStart"/>
      <w:r w:rsidRPr="00D56C99">
        <w:rPr>
          <w:lang w:val="de-DE"/>
        </w:rPr>
        <w:t>Strategies</w:t>
      </w:r>
      <w:proofErr w:type="spellEnd"/>
      <w:r w:rsidRPr="00D56C99">
        <w:rPr>
          <w:lang w:val="de-DE"/>
        </w:rPr>
        <w:t xml:space="preserve"> in </w:t>
      </w:r>
      <w:proofErr w:type="spellStart"/>
      <w:r w:rsidRPr="00D56C99">
        <w:rPr>
          <w:lang w:val="de-DE"/>
        </w:rPr>
        <w:t>Criminal</w:t>
      </w:r>
      <w:proofErr w:type="spellEnd"/>
      <w:r w:rsidRPr="00D56C99">
        <w:rPr>
          <w:lang w:val="de-DE"/>
        </w:rPr>
        <w:t xml:space="preserve"> Law)</w:t>
      </w:r>
    </w:p>
    <w:p w14:paraId="436DF67E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ECLE VII Symposion, Goethe Universität Frankfurt</w:t>
      </w:r>
    </w:p>
    <w:p w14:paraId="6C961FC1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564D231A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Aufsichtsrecht und Gesellschaftsrecht, 28 September 2015</w:t>
      </w:r>
    </w:p>
    <w:p w14:paraId="68487D2D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(Supervisory law and corporate law)</w:t>
      </w:r>
    </w:p>
    <w:p w14:paraId="3FF7144B" w14:textId="77777777" w:rsidR="00716BC7" w:rsidRPr="004F0119" w:rsidRDefault="00716BC7" w:rsidP="00716BC7">
      <w:pPr>
        <w:spacing w:line="240" w:lineRule="auto"/>
        <w:rPr>
          <w:bCs/>
        </w:rPr>
      </w:pPr>
      <w:proofErr w:type="spellStart"/>
      <w:r w:rsidRPr="004F0119">
        <w:rPr>
          <w:bCs/>
        </w:rPr>
        <w:t>Symposion</w:t>
      </w:r>
      <w:proofErr w:type="spellEnd"/>
      <w:r w:rsidRPr="004F0119">
        <w:rPr>
          <w:bCs/>
        </w:rPr>
        <w:t xml:space="preserve"> on Corporate Law, </w:t>
      </w:r>
      <w:proofErr w:type="spellStart"/>
      <w:r w:rsidRPr="004F0119">
        <w:rPr>
          <w:bCs/>
        </w:rPr>
        <w:t>Wirtschaftsuniversität</w:t>
      </w:r>
      <w:proofErr w:type="spellEnd"/>
      <w:r w:rsidRPr="004F0119">
        <w:rPr>
          <w:bCs/>
        </w:rPr>
        <w:t xml:space="preserve"> Vienna</w:t>
      </w:r>
    </w:p>
    <w:p w14:paraId="04D25F23" w14:textId="77777777" w:rsidR="00716BC7" w:rsidRPr="004F0119" w:rsidRDefault="00716BC7" w:rsidP="00716BC7">
      <w:pPr>
        <w:spacing w:line="240" w:lineRule="auto"/>
        <w:rPr>
          <w:bCs/>
        </w:rPr>
      </w:pPr>
    </w:p>
    <w:p w14:paraId="159865AF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Diversity on corporate boards – why, how?</w:t>
      </w:r>
      <w:r w:rsidRPr="004F0119">
        <w:rPr>
          <w:iCs/>
        </w:rPr>
        <w:t xml:space="preserve"> 2/3</w:t>
      </w:r>
      <w:r>
        <w:rPr>
          <w:iCs/>
        </w:rPr>
        <w:t xml:space="preserve"> </w:t>
      </w:r>
      <w:r w:rsidRPr="004F0119">
        <w:rPr>
          <w:iCs/>
        </w:rPr>
        <w:t>July 2015</w:t>
      </w:r>
    </w:p>
    <w:p w14:paraId="1281A53F" w14:textId="77777777" w:rsidR="00716BC7" w:rsidRPr="004F0119" w:rsidRDefault="00716BC7" w:rsidP="00716BC7">
      <w:pPr>
        <w:spacing w:line="240" w:lineRule="auto"/>
        <w:rPr>
          <w:iCs/>
        </w:rPr>
      </w:pPr>
      <w:r w:rsidRPr="004F0119">
        <w:rPr>
          <w:iCs/>
        </w:rPr>
        <w:t xml:space="preserve">German/French </w:t>
      </w:r>
      <w:proofErr w:type="spellStart"/>
      <w:r w:rsidRPr="004F0119">
        <w:rPr>
          <w:iCs/>
        </w:rPr>
        <w:t>Symposion</w:t>
      </w:r>
      <w:proofErr w:type="spellEnd"/>
      <w:r w:rsidRPr="004F0119">
        <w:rPr>
          <w:iCs/>
        </w:rPr>
        <w:t>, Sorbonne, Paris</w:t>
      </w:r>
    </w:p>
    <w:p w14:paraId="12AD1DFB" w14:textId="77777777" w:rsidR="00716BC7" w:rsidRPr="004F0119" w:rsidRDefault="00716BC7" w:rsidP="00716BC7">
      <w:pPr>
        <w:spacing w:line="240" w:lineRule="auto"/>
        <w:rPr>
          <w:iCs/>
        </w:rPr>
      </w:pPr>
    </w:p>
    <w:p w14:paraId="1663F396" w14:textId="77777777" w:rsidR="00716BC7" w:rsidRPr="004F0119" w:rsidRDefault="00716BC7" w:rsidP="00716BC7">
      <w:pPr>
        <w:spacing w:line="240" w:lineRule="auto"/>
        <w:rPr>
          <w:iCs/>
        </w:rPr>
      </w:pPr>
      <w:r w:rsidRPr="004F0119">
        <w:rPr>
          <w:iCs/>
        </w:rPr>
        <w:t>On the German law of corporate groups, 28/29</w:t>
      </w:r>
      <w:r>
        <w:rPr>
          <w:iCs/>
        </w:rPr>
        <w:t xml:space="preserve"> </w:t>
      </w:r>
      <w:r w:rsidRPr="004F0119">
        <w:rPr>
          <w:iCs/>
        </w:rPr>
        <w:t>May 2015</w:t>
      </w:r>
    </w:p>
    <w:p w14:paraId="13848D53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iCs/>
          <w:lang w:val="de-DE"/>
        </w:rPr>
        <w:t>German/Asian Symposion, MPI Hamburg</w:t>
      </w:r>
    </w:p>
    <w:p w14:paraId="5F2E55BC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0F9BEA10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Aktienrecht und Kapitalmarktrecht – 50 Jahre AktG, 26/27 May 2015</w:t>
      </w:r>
    </w:p>
    <w:p w14:paraId="6B6F1657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(Capital markets Law and Corporate law after 50 years of the German Code on stock corporations)</w:t>
      </w:r>
    </w:p>
    <w:p w14:paraId="1FB90018" w14:textId="77777777" w:rsidR="00716BC7" w:rsidRPr="004F0119" w:rsidRDefault="00716BC7" w:rsidP="00716BC7">
      <w:pPr>
        <w:spacing w:line="240" w:lineRule="auto"/>
        <w:rPr>
          <w:bCs/>
        </w:rPr>
      </w:pPr>
      <w:proofErr w:type="spellStart"/>
      <w:r w:rsidRPr="004F0119">
        <w:rPr>
          <w:bCs/>
        </w:rPr>
        <w:t>Symposion</w:t>
      </w:r>
      <w:proofErr w:type="spellEnd"/>
      <w:r w:rsidRPr="004F0119">
        <w:rPr>
          <w:bCs/>
        </w:rPr>
        <w:t xml:space="preserve"> 50 </w:t>
      </w:r>
      <w:proofErr w:type="spellStart"/>
      <w:r w:rsidRPr="004F0119">
        <w:rPr>
          <w:bCs/>
        </w:rPr>
        <w:t>Jahre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AktG</w:t>
      </w:r>
      <w:proofErr w:type="spellEnd"/>
      <w:r w:rsidRPr="004F0119">
        <w:rPr>
          <w:bCs/>
        </w:rPr>
        <w:t>, University of Bonn</w:t>
      </w:r>
    </w:p>
    <w:p w14:paraId="17454F32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</w:p>
    <w:p w14:paraId="58FBE6A9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Ever more transparency – investor’s duties according to the EU proposal on an amendment of the shareholder’s rights directive, 5 December 2014</w:t>
      </w:r>
    </w:p>
    <w:p w14:paraId="52CCD5C2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>European Forum on Securities Regulation (EFSR), Vienna</w:t>
      </w:r>
    </w:p>
    <w:p w14:paraId="173150B1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</w:p>
    <w:p w14:paraId="59F14847" w14:textId="77777777" w:rsidR="00716BC7" w:rsidRPr="004C0D4A" w:rsidRDefault="00716BC7" w:rsidP="00716BC7">
      <w:pPr>
        <w:spacing w:line="240" w:lineRule="auto"/>
        <w:rPr>
          <w:bCs/>
        </w:rPr>
      </w:pPr>
      <w:r w:rsidRPr="004F0119">
        <w:rPr>
          <w:bCs/>
          <w:lang w:val="en-GB"/>
        </w:rPr>
        <w:t xml:space="preserve">Economic Transplants and the normative challenge, 10 </w:t>
      </w:r>
      <w:r w:rsidRPr="004C0D4A">
        <w:rPr>
          <w:bCs/>
        </w:rPr>
        <w:t>April 2014</w:t>
      </w:r>
    </w:p>
    <w:p w14:paraId="186EAB8E" w14:textId="77777777" w:rsidR="00716BC7" w:rsidRPr="004F0119" w:rsidRDefault="00716BC7" w:rsidP="00716BC7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 xml:space="preserve">Séminaires du programme doctoral de Droit, </w:t>
      </w:r>
      <w:proofErr w:type="spellStart"/>
      <w:r w:rsidRPr="004F0119">
        <w:rPr>
          <w:bCs/>
          <w:lang w:val="fr-FR"/>
        </w:rPr>
        <w:t>SciencesPo</w:t>
      </w:r>
      <w:proofErr w:type="spellEnd"/>
      <w:r w:rsidRPr="004F0119">
        <w:rPr>
          <w:bCs/>
          <w:lang w:val="fr-FR"/>
        </w:rPr>
        <w:t>, Ecole de Droit, Paris</w:t>
      </w:r>
    </w:p>
    <w:p w14:paraId="68B81F4E" w14:textId="77777777" w:rsidR="00716BC7" w:rsidRPr="004F0119" w:rsidRDefault="00716BC7" w:rsidP="00716BC7">
      <w:pPr>
        <w:spacing w:line="240" w:lineRule="auto"/>
        <w:rPr>
          <w:bCs/>
          <w:lang w:val="fr-FR"/>
        </w:rPr>
      </w:pPr>
    </w:p>
    <w:p w14:paraId="7A95E06E" w14:textId="77777777" w:rsidR="00716BC7" w:rsidRPr="00D56C99" w:rsidRDefault="00716BC7" w:rsidP="00716BC7">
      <w:pPr>
        <w:keepNext/>
        <w:keepLines/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 xml:space="preserve">Anlegerschutz durch Haftung im deutschen und europäischen Kapitalmarktrecht, 21 </w:t>
      </w:r>
      <w:proofErr w:type="spellStart"/>
      <w:r w:rsidRPr="00D56C99">
        <w:rPr>
          <w:bCs/>
          <w:lang w:val="de-DE"/>
        </w:rPr>
        <w:t>February</w:t>
      </w:r>
      <w:proofErr w:type="spellEnd"/>
      <w:r w:rsidRPr="00D56C99">
        <w:rPr>
          <w:bCs/>
          <w:lang w:val="de-DE"/>
        </w:rPr>
        <w:t xml:space="preserve"> 2014</w:t>
      </w:r>
    </w:p>
    <w:p w14:paraId="62CFC7C8" w14:textId="77777777" w:rsidR="00716BC7" w:rsidRPr="004F0119" w:rsidRDefault="00716BC7" w:rsidP="00716BC7">
      <w:pPr>
        <w:keepNext/>
        <w:keepLines/>
        <w:spacing w:line="240" w:lineRule="auto"/>
        <w:rPr>
          <w:iCs/>
        </w:rPr>
      </w:pPr>
      <w:r w:rsidRPr="004F0119">
        <w:rPr>
          <w:bCs/>
          <w:iCs/>
        </w:rPr>
        <w:t>(Investor protection under German and European capital markets law)</w:t>
      </w:r>
    </w:p>
    <w:p w14:paraId="58302C2E" w14:textId="77777777" w:rsidR="00716BC7" w:rsidRPr="00D56C99" w:rsidRDefault="00716BC7" w:rsidP="00716BC7">
      <w:pPr>
        <w:keepNext/>
        <w:keepLines/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Karlsruher Forum</w:t>
      </w:r>
    </w:p>
    <w:p w14:paraId="4B1BC976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040C8B2A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Stimmrechtsberater – „</w:t>
      </w:r>
      <w:proofErr w:type="spellStart"/>
      <w:r w:rsidRPr="00D56C99">
        <w:rPr>
          <w:bCs/>
          <w:lang w:val="de-DE"/>
        </w:rPr>
        <w:t>proxy</w:t>
      </w:r>
      <w:proofErr w:type="spellEnd"/>
      <w:r w:rsidRPr="00D56C99">
        <w:rPr>
          <w:bCs/>
          <w:lang w:val="de-DE"/>
        </w:rPr>
        <w:t xml:space="preserve"> </w:t>
      </w:r>
      <w:proofErr w:type="spellStart"/>
      <w:r w:rsidRPr="00D56C99">
        <w:rPr>
          <w:bCs/>
          <w:lang w:val="de-DE"/>
        </w:rPr>
        <w:t>advisors</w:t>
      </w:r>
      <w:proofErr w:type="spellEnd"/>
      <w:r w:rsidRPr="00D56C99">
        <w:rPr>
          <w:bCs/>
          <w:lang w:val="de-DE"/>
        </w:rPr>
        <w:t>“, 22 November 2013</w:t>
      </w:r>
    </w:p>
    <w:p w14:paraId="70436ED2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Symposium „Das Europäische Gesellschaftsrecht vor neuen Herausforderungen“,</w:t>
      </w:r>
    </w:p>
    <w:p w14:paraId="65FF60B4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Westfälische Wilhelms-Universität Münster</w:t>
      </w:r>
    </w:p>
    <w:p w14:paraId="112DC152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235E17CB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6BC398A4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49C3B9DF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Insiderinformationen nach neuem Recht, 5 November 2013</w:t>
      </w:r>
    </w:p>
    <w:p w14:paraId="74BE883C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(The new regime of inside information) </w:t>
      </w:r>
    </w:p>
    <w:p w14:paraId="4C7D5909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Bankrechtsforum, Wien</w:t>
      </w:r>
    </w:p>
    <w:p w14:paraId="7FCD9631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</w:p>
    <w:p w14:paraId="0D07D389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Vorstandsvergütung – vom Vertragsrecht zu “</w:t>
      </w:r>
      <w:proofErr w:type="spellStart"/>
      <w:r w:rsidRPr="00D56C99">
        <w:rPr>
          <w:bCs/>
          <w:lang w:val="de-DE"/>
        </w:rPr>
        <w:t>say</w:t>
      </w:r>
      <w:proofErr w:type="spellEnd"/>
      <w:r w:rsidRPr="00D56C99">
        <w:rPr>
          <w:bCs/>
          <w:lang w:val="de-DE"/>
        </w:rPr>
        <w:t xml:space="preserve"> on </w:t>
      </w:r>
      <w:proofErr w:type="spellStart"/>
      <w:r w:rsidRPr="00D56C99">
        <w:rPr>
          <w:bCs/>
          <w:lang w:val="de-DE"/>
        </w:rPr>
        <w:t>pay</w:t>
      </w:r>
      <w:proofErr w:type="spellEnd"/>
      <w:r w:rsidRPr="00D56C99">
        <w:rPr>
          <w:bCs/>
          <w:lang w:val="de-DE"/>
        </w:rPr>
        <w:t xml:space="preserve">”, 25 </w:t>
      </w:r>
      <w:proofErr w:type="spellStart"/>
      <w:r w:rsidRPr="00D56C99">
        <w:rPr>
          <w:bCs/>
          <w:lang w:val="de-DE"/>
        </w:rPr>
        <w:t>October</w:t>
      </w:r>
      <w:proofErr w:type="spellEnd"/>
      <w:r w:rsidRPr="00D56C99">
        <w:rPr>
          <w:bCs/>
          <w:lang w:val="de-DE"/>
        </w:rPr>
        <w:t xml:space="preserve"> 2013</w:t>
      </w:r>
    </w:p>
    <w:p w14:paraId="004ADA75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(Board remuneration – from contracts law to „say on </w:t>
      </w:r>
      <w:proofErr w:type="gramStart"/>
      <w:r w:rsidRPr="004F0119">
        <w:rPr>
          <w:bCs/>
          <w:lang w:val="en-GB"/>
        </w:rPr>
        <w:t>pay“</w:t>
      </w:r>
      <w:proofErr w:type="gramEnd"/>
      <w:r w:rsidRPr="004F0119">
        <w:rPr>
          <w:bCs/>
          <w:lang w:val="en-GB"/>
        </w:rPr>
        <w:t>)</w:t>
      </w:r>
    </w:p>
    <w:p w14:paraId="52AB6A02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r w:rsidRPr="004F0119">
        <w:rPr>
          <w:bCs/>
          <w:lang w:val="en-GB"/>
        </w:rPr>
        <w:t xml:space="preserve">German-Greek </w:t>
      </w:r>
      <w:proofErr w:type="spellStart"/>
      <w:r w:rsidRPr="004F0119">
        <w:rPr>
          <w:bCs/>
          <w:lang w:val="en-GB"/>
        </w:rPr>
        <w:t>Symposion</w:t>
      </w:r>
      <w:proofErr w:type="spellEnd"/>
      <w:r w:rsidRPr="004F0119">
        <w:rPr>
          <w:bCs/>
          <w:lang w:val="en-GB"/>
        </w:rPr>
        <w:t xml:space="preserve"> arranged by the law faculties of national and </w:t>
      </w:r>
      <w:proofErr w:type="spellStart"/>
      <w:r w:rsidRPr="004F0119">
        <w:rPr>
          <w:bCs/>
          <w:lang w:val="en-GB"/>
        </w:rPr>
        <w:t>Kapodistrias</w:t>
      </w:r>
      <w:proofErr w:type="spellEnd"/>
      <w:r w:rsidRPr="004F0119">
        <w:rPr>
          <w:bCs/>
          <w:lang w:val="en-GB"/>
        </w:rPr>
        <w:t>’ university Athens and Goethe-University Frankfurt</w:t>
      </w:r>
    </w:p>
    <w:p w14:paraId="150EAEB7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</w:p>
    <w:p w14:paraId="6F515820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Economic transplants and the normative challenge, 3 July 2013</w:t>
      </w:r>
    </w:p>
    <w:p w14:paraId="1EAEC5ED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Presentation, Law and Economics panel, LSE London, respondent: Charles Goodhart, LSE London</w:t>
      </w:r>
    </w:p>
    <w:p w14:paraId="31EBEA24" w14:textId="77777777" w:rsidR="00716BC7" w:rsidRPr="004F0119" w:rsidRDefault="00716BC7" w:rsidP="00716BC7">
      <w:pPr>
        <w:spacing w:line="240" w:lineRule="auto"/>
        <w:rPr>
          <w:bCs/>
        </w:rPr>
      </w:pPr>
    </w:p>
    <w:p w14:paraId="42824723" w14:textId="77777777" w:rsidR="00716BC7" w:rsidRPr="004C0D4A" w:rsidRDefault="00716BC7" w:rsidP="00716BC7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lastRenderedPageBreak/>
        <w:t xml:space="preserve">Opérations </w:t>
      </w:r>
      <w:proofErr w:type="gramStart"/>
      <w:r w:rsidRPr="004F0119">
        <w:rPr>
          <w:bCs/>
          <w:lang w:val="fr-FR"/>
        </w:rPr>
        <w:t>d’initiés:</w:t>
      </w:r>
      <w:proofErr w:type="gramEnd"/>
      <w:r w:rsidRPr="004F0119">
        <w:rPr>
          <w:bCs/>
          <w:lang w:val="fr-FR"/>
        </w:rPr>
        <w:t xml:space="preserve"> les limites de la prohibition, 28 </w:t>
      </w:r>
      <w:proofErr w:type="spellStart"/>
      <w:r w:rsidRPr="004C0D4A">
        <w:rPr>
          <w:bCs/>
          <w:lang w:val="fr-FR"/>
        </w:rPr>
        <w:t>June</w:t>
      </w:r>
      <w:proofErr w:type="spellEnd"/>
      <w:r w:rsidRPr="004C0D4A">
        <w:rPr>
          <w:bCs/>
          <w:lang w:val="fr-FR"/>
        </w:rPr>
        <w:t xml:space="preserve"> 2013</w:t>
      </w:r>
    </w:p>
    <w:p w14:paraId="1AEFDE50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(Insider Trading – the prohibition and its limits)</w:t>
      </w:r>
    </w:p>
    <w:p w14:paraId="7F30594F" w14:textId="77777777" w:rsidR="00716BC7" w:rsidRPr="004F0119" w:rsidRDefault="00716BC7" w:rsidP="00716BC7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>IRJS Sorbonne Finance &amp; Sorbonne Affaires, Séminaire franco-allemand, Paris 1 - MPI</w:t>
      </w:r>
    </w:p>
    <w:p w14:paraId="7CDF1904" w14:textId="77777777" w:rsidR="00716BC7" w:rsidRPr="004F0119" w:rsidRDefault="00716BC7" w:rsidP="00716BC7">
      <w:pPr>
        <w:spacing w:line="240" w:lineRule="auto"/>
        <w:rPr>
          <w:bCs/>
          <w:lang w:val="fr-FR"/>
        </w:rPr>
      </w:pPr>
    </w:p>
    <w:p w14:paraId="15CFAF42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Insider Trading in US and EU Law, 14. March 2013</w:t>
      </w:r>
    </w:p>
    <w:p w14:paraId="5B8333BE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Presentation “LLM Specialist </w:t>
      </w:r>
      <w:proofErr w:type="gramStart"/>
      <w:r w:rsidRPr="004F0119">
        <w:rPr>
          <w:bCs/>
        </w:rPr>
        <w:t>Series“</w:t>
      </w:r>
      <w:proofErr w:type="gramEnd"/>
      <w:r w:rsidRPr="004F0119">
        <w:rPr>
          <w:bCs/>
        </w:rPr>
        <w:t>, LSE London</w:t>
      </w:r>
    </w:p>
    <w:p w14:paraId="5364E5C6" w14:textId="77777777" w:rsidR="00716BC7" w:rsidRPr="004F0119" w:rsidRDefault="00716BC7" w:rsidP="00716BC7">
      <w:pPr>
        <w:spacing w:line="240" w:lineRule="auto"/>
        <w:rPr>
          <w:bCs/>
        </w:rPr>
      </w:pPr>
    </w:p>
    <w:p w14:paraId="60CFD064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Limits of Shareholder Value, 28 February 2013</w:t>
      </w:r>
    </w:p>
    <w:p w14:paraId="1F7A8903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LSE London, Corporate Law and Finance Roundtable, Comment to John </w:t>
      </w:r>
      <w:proofErr w:type="spellStart"/>
      <w:r w:rsidRPr="004F0119">
        <w:rPr>
          <w:bCs/>
        </w:rPr>
        <w:t>Armour</w:t>
      </w:r>
      <w:proofErr w:type="spellEnd"/>
    </w:p>
    <w:p w14:paraId="3AE6F528" w14:textId="77777777" w:rsidR="00716BC7" w:rsidRPr="004F0119" w:rsidRDefault="00716BC7" w:rsidP="00716BC7">
      <w:pPr>
        <w:spacing w:line="240" w:lineRule="auto"/>
        <w:rPr>
          <w:bCs/>
        </w:rPr>
      </w:pPr>
    </w:p>
    <w:p w14:paraId="4957DACB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Is Bank Governance </w:t>
      </w:r>
      <w:proofErr w:type="gramStart"/>
      <w:r w:rsidRPr="004F0119">
        <w:rPr>
          <w:bCs/>
        </w:rPr>
        <w:t>Special?,</w:t>
      </w:r>
      <w:proofErr w:type="gramEnd"/>
      <w:r w:rsidRPr="004F0119">
        <w:rPr>
          <w:bCs/>
        </w:rPr>
        <w:t xml:space="preserve"> 23 January 2013</w:t>
      </w:r>
    </w:p>
    <w:p w14:paraId="4A7180BA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LSE London, Response to Guido </w:t>
      </w:r>
      <w:proofErr w:type="spellStart"/>
      <w:r w:rsidRPr="004F0119">
        <w:rPr>
          <w:bCs/>
        </w:rPr>
        <w:t>Ferrarini</w:t>
      </w:r>
      <w:proofErr w:type="spellEnd"/>
      <w:r w:rsidRPr="004F0119">
        <w:rPr>
          <w:bCs/>
        </w:rPr>
        <w:t xml:space="preserve">; Chair: Niamh </w:t>
      </w:r>
      <w:proofErr w:type="spellStart"/>
      <w:r w:rsidRPr="004F0119">
        <w:rPr>
          <w:bCs/>
        </w:rPr>
        <w:t>Moloney</w:t>
      </w:r>
      <w:proofErr w:type="spellEnd"/>
    </w:p>
    <w:p w14:paraId="7F643762" w14:textId="77777777" w:rsidR="00716BC7" w:rsidRPr="004F0119" w:rsidRDefault="00716BC7" w:rsidP="00716BC7">
      <w:pPr>
        <w:spacing w:line="240" w:lineRule="auto"/>
        <w:rPr>
          <w:bCs/>
        </w:rPr>
      </w:pPr>
    </w:p>
    <w:p w14:paraId="42ADA64F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Some lessons from the crisis – does the law set the right incentives for board composition and liability in financial </w:t>
      </w:r>
      <w:proofErr w:type="gramStart"/>
      <w:r w:rsidRPr="004F0119">
        <w:rPr>
          <w:bCs/>
        </w:rPr>
        <w:t>institutions?,</w:t>
      </w:r>
      <w:proofErr w:type="gramEnd"/>
      <w:r w:rsidRPr="004F0119">
        <w:rPr>
          <w:bCs/>
        </w:rPr>
        <w:t xml:space="preserve"> 4 October 2012</w:t>
      </w:r>
    </w:p>
    <w:p w14:paraId="1AD1FA58" w14:textId="77777777" w:rsidR="00716BC7" w:rsidRPr="0053424F" w:rsidRDefault="00716BC7" w:rsidP="00716BC7">
      <w:pPr>
        <w:spacing w:line="240" w:lineRule="auto"/>
        <w:rPr>
          <w:bCs/>
          <w:lang w:val="fr-FR"/>
        </w:rPr>
      </w:pPr>
      <w:r w:rsidRPr="0053424F">
        <w:rPr>
          <w:bCs/>
          <w:lang w:val="fr-FR"/>
        </w:rPr>
        <w:t xml:space="preserve">Lecture </w:t>
      </w:r>
      <w:proofErr w:type="spellStart"/>
      <w:r w:rsidRPr="0053424F">
        <w:rPr>
          <w:bCs/>
          <w:lang w:val="fr-FR"/>
        </w:rPr>
        <w:t>series</w:t>
      </w:r>
      <w:proofErr w:type="spellEnd"/>
      <w:r w:rsidRPr="0053424F">
        <w:rPr>
          <w:bCs/>
          <w:lang w:val="fr-FR"/>
        </w:rPr>
        <w:t xml:space="preserve"> “Séminaire Doctoral”, </w:t>
      </w:r>
      <w:proofErr w:type="spellStart"/>
      <w:r w:rsidRPr="0053424F">
        <w:rPr>
          <w:bCs/>
          <w:lang w:val="fr-FR"/>
        </w:rPr>
        <w:t>SciencesPo</w:t>
      </w:r>
      <w:proofErr w:type="spellEnd"/>
      <w:r w:rsidRPr="0053424F">
        <w:rPr>
          <w:bCs/>
          <w:lang w:val="fr-FR"/>
        </w:rPr>
        <w:t>, Ecole de droit, Paris</w:t>
      </w:r>
    </w:p>
    <w:p w14:paraId="047DCD0D" w14:textId="77777777" w:rsidR="00716BC7" w:rsidRPr="0053424F" w:rsidRDefault="00716BC7" w:rsidP="00716BC7">
      <w:pPr>
        <w:spacing w:line="240" w:lineRule="auto"/>
        <w:rPr>
          <w:bCs/>
          <w:lang w:val="fr-FR"/>
        </w:rPr>
      </w:pPr>
    </w:p>
    <w:p w14:paraId="69301F59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Financial innovations, CEO liability and corporate governance in regulated industries, 31 May – 1. June 2012</w:t>
      </w:r>
    </w:p>
    <w:p w14:paraId="762F78F0" w14:textId="77777777" w:rsidR="00716BC7" w:rsidRPr="004F0119" w:rsidRDefault="00716BC7" w:rsidP="00716BC7">
      <w:pPr>
        <w:spacing w:line="240" w:lineRule="auto"/>
        <w:rPr>
          <w:bCs/>
        </w:rPr>
      </w:pPr>
      <w:proofErr w:type="spellStart"/>
      <w:r w:rsidRPr="004F0119">
        <w:rPr>
          <w:bCs/>
        </w:rPr>
        <w:t>Symposion</w:t>
      </w:r>
      <w:proofErr w:type="spellEnd"/>
      <w:r w:rsidRPr="004F0119">
        <w:rPr>
          <w:bCs/>
        </w:rPr>
        <w:t xml:space="preserve">, University St. Gallen, „Financial </w:t>
      </w:r>
      <w:proofErr w:type="gramStart"/>
      <w:r w:rsidRPr="004F0119">
        <w:rPr>
          <w:bCs/>
        </w:rPr>
        <w:t>innovations“</w:t>
      </w:r>
      <w:proofErr w:type="gramEnd"/>
    </w:p>
    <w:p w14:paraId="163F86B3" w14:textId="77777777" w:rsidR="00716BC7" w:rsidRPr="004F0119" w:rsidRDefault="00716BC7" w:rsidP="00716BC7">
      <w:pPr>
        <w:spacing w:line="240" w:lineRule="auto"/>
        <w:rPr>
          <w:bCs/>
        </w:rPr>
      </w:pPr>
    </w:p>
    <w:p w14:paraId="1E1F5014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Epistemic goals and tools, 15 August 2011</w:t>
      </w:r>
    </w:p>
    <w:p w14:paraId="324FDAF2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IVR workshop on disciplinary perspectives and legal truth, 25. World congress IVR 15.–20. August 2011 in Frankfurt</w:t>
      </w:r>
    </w:p>
    <w:p w14:paraId="3C8F3AEC" w14:textId="77777777" w:rsidR="00716BC7" w:rsidRPr="004F0119" w:rsidRDefault="00716BC7" w:rsidP="00716BC7">
      <w:pPr>
        <w:spacing w:line="240" w:lineRule="auto"/>
        <w:rPr>
          <w:bCs/>
        </w:rPr>
      </w:pPr>
    </w:p>
    <w:p w14:paraId="5DD454BC" w14:textId="77777777" w:rsidR="00716BC7" w:rsidRPr="004F0119" w:rsidRDefault="00716BC7" w:rsidP="00716BC7">
      <w:pPr>
        <w:keepNext/>
        <w:keepLines/>
        <w:spacing w:line="240" w:lineRule="auto"/>
        <w:rPr>
          <w:bCs/>
        </w:rPr>
      </w:pPr>
      <w:r w:rsidRPr="004F0119">
        <w:rPr>
          <w:bCs/>
        </w:rPr>
        <w:t>Class actions in Securities litigation under German law</w:t>
      </w:r>
    </w:p>
    <w:p w14:paraId="35C3AACE" w14:textId="77777777" w:rsidR="00716BC7" w:rsidRPr="004C0D4A" w:rsidRDefault="00716BC7" w:rsidP="00716BC7">
      <w:pPr>
        <w:spacing w:line="240" w:lineRule="auto"/>
        <w:rPr>
          <w:bCs/>
          <w:lang w:val="fr-FR"/>
        </w:rPr>
      </w:pPr>
      <w:r w:rsidRPr="004F0119">
        <w:rPr>
          <w:bCs/>
          <w:lang w:val="fr-FR"/>
        </w:rPr>
        <w:t xml:space="preserve">L'action de groupe des </w:t>
      </w:r>
      <w:proofErr w:type="gramStart"/>
      <w:r w:rsidRPr="004F0119">
        <w:rPr>
          <w:bCs/>
          <w:lang w:val="fr-FR"/>
        </w:rPr>
        <w:t>investisseurs:</w:t>
      </w:r>
      <w:proofErr w:type="gramEnd"/>
      <w:r w:rsidRPr="004F0119">
        <w:rPr>
          <w:bCs/>
          <w:lang w:val="fr-FR"/>
        </w:rPr>
        <w:t xml:space="preserve"> une ardente nécessité, 31 </w:t>
      </w:r>
      <w:r w:rsidRPr="004C0D4A">
        <w:rPr>
          <w:bCs/>
          <w:lang w:val="fr-FR"/>
        </w:rPr>
        <w:t>March 2011</w:t>
      </w:r>
    </w:p>
    <w:p w14:paraId="2E7C7A01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  <w:proofErr w:type="spellStart"/>
      <w:r w:rsidRPr="004F0119">
        <w:rPr>
          <w:bCs/>
          <w:lang w:val="en-GB"/>
        </w:rPr>
        <w:t>Sénat</w:t>
      </w:r>
      <w:proofErr w:type="spellEnd"/>
      <w:r w:rsidRPr="004F0119">
        <w:rPr>
          <w:bCs/>
          <w:lang w:val="en-GB"/>
        </w:rPr>
        <w:t xml:space="preserve">, Paris, organized by: Yann </w:t>
      </w:r>
      <w:proofErr w:type="spellStart"/>
      <w:r w:rsidRPr="004F0119">
        <w:rPr>
          <w:bCs/>
          <w:lang w:val="en-GB"/>
        </w:rPr>
        <w:t>Paclot</w:t>
      </w:r>
      <w:proofErr w:type="spellEnd"/>
      <w:r w:rsidRPr="004F0119">
        <w:rPr>
          <w:bCs/>
          <w:lang w:val="en-GB"/>
        </w:rPr>
        <w:t>/</w:t>
      </w:r>
      <w:proofErr w:type="spellStart"/>
      <w:r w:rsidRPr="004F0119">
        <w:rPr>
          <w:bCs/>
          <w:lang w:val="en-GB"/>
        </w:rPr>
        <w:t>Véronique</w:t>
      </w:r>
      <w:proofErr w:type="spellEnd"/>
      <w:r w:rsidRPr="004F0119">
        <w:rPr>
          <w:bCs/>
          <w:lang w:val="en-GB"/>
        </w:rPr>
        <w:t xml:space="preserve"> </w:t>
      </w:r>
      <w:proofErr w:type="spellStart"/>
      <w:r w:rsidRPr="004F0119">
        <w:rPr>
          <w:bCs/>
          <w:lang w:val="en-GB"/>
        </w:rPr>
        <w:t>Magnier</w:t>
      </w:r>
      <w:proofErr w:type="spellEnd"/>
    </w:p>
    <w:p w14:paraId="786131AE" w14:textId="77777777" w:rsidR="00716BC7" w:rsidRPr="004F0119" w:rsidRDefault="00716BC7" w:rsidP="00716BC7">
      <w:pPr>
        <w:spacing w:line="240" w:lineRule="auto"/>
        <w:rPr>
          <w:bCs/>
          <w:lang w:val="en-GB"/>
        </w:rPr>
      </w:pPr>
    </w:p>
    <w:p w14:paraId="43BBDEB1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  <w:lang w:val="en-GB"/>
        </w:rPr>
        <w:t xml:space="preserve">On the future of capital markets law, 7 </w:t>
      </w:r>
      <w:r w:rsidRPr="004F0119">
        <w:rPr>
          <w:bCs/>
        </w:rPr>
        <w:t>November 2009</w:t>
      </w:r>
    </w:p>
    <w:p w14:paraId="195AF728" w14:textId="77777777" w:rsidR="00716BC7" w:rsidRPr="004F0119" w:rsidRDefault="00716BC7" w:rsidP="00716BC7">
      <w:pPr>
        <w:spacing w:line="240" w:lineRule="auto"/>
        <w:rPr>
          <w:bCs/>
        </w:rPr>
      </w:pPr>
      <w:r w:rsidRPr="004F0119">
        <w:rPr>
          <w:bCs/>
        </w:rPr>
        <w:t>Deutsch-</w:t>
      </w:r>
      <w:proofErr w:type="spellStart"/>
      <w:r w:rsidRPr="004F0119">
        <w:rPr>
          <w:bCs/>
        </w:rPr>
        <w:t>Brasilianische</w:t>
      </w:r>
      <w:proofErr w:type="spellEnd"/>
      <w:r w:rsidRPr="004F0119">
        <w:rPr>
          <w:bCs/>
        </w:rPr>
        <w:t xml:space="preserve"> </w:t>
      </w:r>
      <w:proofErr w:type="spellStart"/>
      <w:r w:rsidRPr="004F0119">
        <w:rPr>
          <w:bCs/>
        </w:rPr>
        <w:t>Juristenvereinigung</w:t>
      </w:r>
      <w:proofErr w:type="spellEnd"/>
      <w:r w:rsidRPr="004F0119">
        <w:rPr>
          <w:bCs/>
        </w:rPr>
        <w:t>, Frankfurt</w:t>
      </w:r>
    </w:p>
    <w:p w14:paraId="51C87E9D" w14:textId="77777777" w:rsidR="00716BC7" w:rsidRPr="004F0119" w:rsidRDefault="00716BC7" w:rsidP="00716BC7">
      <w:pPr>
        <w:spacing w:line="240" w:lineRule="auto"/>
        <w:rPr>
          <w:bCs/>
        </w:rPr>
      </w:pPr>
    </w:p>
    <w:p w14:paraId="13AE3903" w14:textId="77777777" w:rsidR="00716BC7" w:rsidRPr="004C0D4A" w:rsidRDefault="00716BC7" w:rsidP="00716BC7">
      <w:pPr>
        <w:spacing w:line="240" w:lineRule="auto"/>
        <w:rPr>
          <w:bCs/>
        </w:rPr>
      </w:pPr>
      <w:r w:rsidRPr="004F0119">
        <w:rPr>
          <w:bCs/>
        </w:rPr>
        <w:t xml:space="preserve">The DCFR – Agency Authority and its Scope – A Glance at Corporation Law, 7 </w:t>
      </w:r>
      <w:r w:rsidRPr="004C0D4A">
        <w:rPr>
          <w:bCs/>
        </w:rPr>
        <w:t>June 2008</w:t>
      </w:r>
    </w:p>
    <w:p w14:paraId="1DCDD1C1" w14:textId="77777777" w:rsidR="00716BC7" w:rsidRPr="00D56C99" w:rsidRDefault="00716BC7" w:rsidP="00716BC7">
      <w:pPr>
        <w:spacing w:line="240" w:lineRule="auto"/>
        <w:rPr>
          <w:bCs/>
          <w:lang w:val="de-DE"/>
        </w:rPr>
      </w:pPr>
      <w:r w:rsidRPr="00D56C99">
        <w:rPr>
          <w:bCs/>
          <w:lang w:val="de-DE"/>
        </w:rPr>
        <w:t>SECOLA Conference, Barcelona</w:t>
      </w:r>
    </w:p>
    <w:p w14:paraId="7BF48C49" w14:textId="77777777" w:rsidR="00716BC7" w:rsidRPr="00D56C99" w:rsidRDefault="00716BC7" w:rsidP="00716BC7">
      <w:pPr>
        <w:spacing w:line="240" w:lineRule="auto"/>
        <w:rPr>
          <w:lang w:val="de-DE"/>
        </w:rPr>
      </w:pPr>
    </w:p>
    <w:p w14:paraId="6FB6CF0B" w14:textId="77777777" w:rsidR="00716BC7" w:rsidRPr="00D56C99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Kreditsicherheiten und Basel II, 6 November 2007</w:t>
      </w:r>
    </w:p>
    <w:p w14:paraId="22B3EFB0" w14:textId="7FF82D26" w:rsidR="00716BC7" w:rsidRPr="00716BC7" w:rsidRDefault="00716BC7" w:rsidP="00716BC7">
      <w:pPr>
        <w:spacing w:line="240" w:lineRule="auto"/>
        <w:rPr>
          <w:lang w:val="de-DE"/>
        </w:rPr>
      </w:pPr>
      <w:r w:rsidRPr="00D56C99">
        <w:rPr>
          <w:lang w:val="de-DE"/>
        </w:rPr>
        <w:t>Bank- und Kapitalmarktrechtssymposion der Deka-Bank, Frankfurt</w:t>
      </w:r>
    </w:p>
    <w:sectPr w:rsidR="00716BC7" w:rsidRPr="00716BC7" w:rsidSect="00F968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B7A5" w14:textId="77777777" w:rsidR="00667804" w:rsidRDefault="00667804">
      <w:pPr>
        <w:spacing w:line="240" w:lineRule="auto"/>
      </w:pPr>
      <w:r>
        <w:separator/>
      </w:r>
    </w:p>
  </w:endnote>
  <w:endnote w:type="continuationSeparator" w:id="0">
    <w:p w14:paraId="6CFC8A57" w14:textId="77777777" w:rsidR="00667804" w:rsidRDefault="00667804">
      <w:pPr>
        <w:spacing w:line="240" w:lineRule="auto"/>
      </w:pPr>
      <w:r>
        <w:continuationSeparator/>
      </w:r>
    </w:p>
  </w:endnote>
  <w:endnote w:type="continuationNotice" w:id="1">
    <w:p w14:paraId="498F080D" w14:textId="77777777" w:rsidR="00667804" w:rsidRDefault="006678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6038"/>
      <w:docPartObj>
        <w:docPartGallery w:val="Page Numbers (Bottom of Page)"/>
        <w:docPartUnique/>
      </w:docPartObj>
    </w:sdtPr>
    <w:sdtEndPr/>
    <w:sdtContent>
      <w:p w14:paraId="2C231C11" w14:textId="215F7408" w:rsidR="002D31E9" w:rsidRDefault="002D31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83" w:rsidRPr="000E4C83">
          <w:rPr>
            <w:noProof/>
            <w:lang w:val="de-DE"/>
          </w:rPr>
          <w:t>11</w:t>
        </w:r>
        <w:r>
          <w:fldChar w:fldCharType="end"/>
        </w:r>
      </w:p>
    </w:sdtContent>
  </w:sdt>
  <w:p w14:paraId="59F88E31" w14:textId="77777777" w:rsidR="002D31E9" w:rsidRDefault="002D31E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BE7C" w14:textId="77777777" w:rsidR="002D31E9" w:rsidRDefault="002D31E9" w:rsidP="00610A5F">
    <w:pPr>
      <w:pStyle w:val="Fuzeile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B350" w14:textId="77777777" w:rsidR="00667804" w:rsidRDefault="00667804">
      <w:pPr>
        <w:spacing w:line="240" w:lineRule="auto"/>
      </w:pPr>
      <w:r>
        <w:separator/>
      </w:r>
    </w:p>
  </w:footnote>
  <w:footnote w:type="continuationSeparator" w:id="0">
    <w:p w14:paraId="65F4751D" w14:textId="77777777" w:rsidR="00667804" w:rsidRDefault="00667804">
      <w:pPr>
        <w:spacing w:line="240" w:lineRule="auto"/>
      </w:pPr>
      <w:r>
        <w:continuationSeparator/>
      </w:r>
    </w:p>
  </w:footnote>
  <w:footnote w:type="continuationNotice" w:id="1">
    <w:p w14:paraId="51986A37" w14:textId="77777777" w:rsidR="00667804" w:rsidRDefault="006678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5231" w14:textId="77777777" w:rsidR="002D31E9" w:rsidRDefault="002D31E9">
    <w:pPr>
      <w:pStyle w:val="Kopfzeile"/>
      <w:contextualSpacing/>
      <w:rPr>
        <w:smallCaps/>
        <w:sz w:val="32"/>
        <w:szCs w:val="32"/>
        <w:vertAlign w:val="superscript"/>
        <w:lang w:val="de-D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0D98" w14:textId="77777777" w:rsidR="002D31E9" w:rsidRDefault="002D31E9" w:rsidP="00610A5F">
    <w:pPr>
      <w:pStyle w:val="Kopfzeile"/>
      <w:contextualSpacing/>
      <w:rPr>
        <w:smallCaps/>
        <w:sz w:val="36"/>
        <w:szCs w:val="36"/>
        <w:vertAlign w:val="subscript"/>
        <w:lang w:val="de-DE"/>
      </w:rPr>
    </w:pPr>
    <w:r>
      <w:rPr>
        <w:smallCaps/>
        <w:noProof/>
        <w:sz w:val="28"/>
        <w:vertAlign w:val="subscript"/>
        <w:lang w:val="de-DE" w:eastAsia="de-DE"/>
      </w:rPr>
      <w:drawing>
        <wp:anchor distT="0" distB="0" distL="114300" distR="114300" simplePos="0" relativeHeight="251659264" behindDoc="0" locked="0" layoutInCell="1" allowOverlap="1" wp14:anchorId="23743154" wp14:editId="3B952441">
          <wp:simplePos x="0" y="0"/>
          <wp:positionH relativeFrom="margin">
            <wp:posOffset>5300345</wp:posOffset>
          </wp:positionH>
          <wp:positionV relativeFrom="paragraph">
            <wp:posOffset>-71120</wp:posOffset>
          </wp:positionV>
          <wp:extent cx="490855" cy="441325"/>
          <wp:effectExtent l="0" t="0" r="4445" b="0"/>
          <wp:wrapSquare wrapText="bothSides"/>
          <wp:docPr id="9" name="Grafik 19" descr="http://user.uni-frankfurt.de/~s1239595/tmp/Goethe-Logo/Kompakt%20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uni-frankfurt.de/~s1239595/tmp/Goethe-Logo/Kompakt%20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z w:val="28"/>
        <w:vertAlign w:val="subscript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CA90E" wp14:editId="0C0E56F4">
              <wp:simplePos x="0" y="0"/>
              <wp:positionH relativeFrom="column">
                <wp:posOffset>-72390</wp:posOffset>
              </wp:positionH>
              <wp:positionV relativeFrom="paragraph">
                <wp:posOffset>265801</wp:posOffset>
              </wp:positionV>
              <wp:extent cx="5383033" cy="0"/>
              <wp:effectExtent l="0" t="0" r="27305" b="19050"/>
              <wp:wrapNone/>
              <wp:docPr id="6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303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ED055A"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0.95pt" to="418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" strokecolor="#0070c0" strokeweight=".5pt">
              <v:stroke joinstyle="miter"/>
            </v:line>
          </w:pict>
        </mc:Fallback>
      </mc:AlternateContent>
    </w:r>
    <w:r>
      <w:rPr>
        <w:smallCaps/>
        <w:sz w:val="36"/>
        <w:szCs w:val="36"/>
        <w:vertAlign w:val="subscript"/>
        <w:lang w:val="de-DE"/>
      </w:rPr>
      <w:t xml:space="preserve">Prof. Dr. Langenbucher                                                                                               </w:t>
    </w:r>
  </w:p>
  <w:p w14:paraId="2B333B57" w14:textId="77777777" w:rsidR="002D31E9" w:rsidRDefault="002D31E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CA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ADC29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21127"/>
    <w:multiLevelType w:val="hybridMultilevel"/>
    <w:tmpl w:val="6EC04A14"/>
    <w:lvl w:ilvl="0" w:tplc="8ACA103C">
      <w:start w:val="1"/>
      <w:numFmt w:val="decimal"/>
      <w:pStyle w:val="Randnoten"/>
      <w:lvlText w:val="%1"/>
      <w:lvlJc w:val="center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85F0FEB"/>
    <w:multiLevelType w:val="hybridMultilevel"/>
    <w:tmpl w:val="58E6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2277"/>
    <w:multiLevelType w:val="hybridMultilevel"/>
    <w:tmpl w:val="61E27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803"/>
    <w:multiLevelType w:val="hybridMultilevel"/>
    <w:tmpl w:val="829AE804"/>
    <w:lvl w:ilvl="0" w:tplc="8EE2FBC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04793"/>
    <w:multiLevelType w:val="hybridMultilevel"/>
    <w:tmpl w:val="56845F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A087069"/>
    <w:multiLevelType w:val="hybridMultilevel"/>
    <w:tmpl w:val="7A72E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54D2"/>
    <w:multiLevelType w:val="hybridMultilevel"/>
    <w:tmpl w:val="3D428C2A"/>
    <w:lvl w:ilvl="0" w:tplc="5A76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92E95"/>
    <w:multiLevelType w:val="hybridMultilevel"/>
    <w:tmpl w:val="6E2E7D2E"/>
    <w:lvl w:ilvl="0" w:tplc="031A6E24">
      <w:start w:val="1"/>
      <w:numFmt w:val="decimal"/>
      <w:lvlText w:val="%1"/>
      <w:lvlJc w:val="center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9"/>
    <w:rsid w:val="000006B0"/>
    <w:rsid w:val="00000F7F"/>
    <w:rsid w:val="00001A60"/>
    <w:rsid w:val="000028E6"/>
    <w:rsid w:val="00002CE4"/>
    <w:rsid w:val="00003413"/>
    <w:rsid w:val="00003677"/>
    <w:rsid w:val="00003A02"/>
    <w:rsid w:val="0000516D"/>
    <w:rsid w:val="0000592B"/>
    <w:rsid w:val="00005DB5"/>
    <w:rsid w:val="00005E72"/>
    <w:rsid w:val="00005F52"/>
    <w:rsid w:val="00007FE7"/>
    <w:rsid w:val="00011590"/>
    <w:rsid w:val="000121B3"/>
    <w:rsid w:val="0001267A"/>
    <w:rsid w:val="00013381"/>
    <w:rsid w:val="000137FB"/>
    <w:rsid w:val="00013CB9"/>
    <w:rsid w:val="000145D3"/>
    <w:rsid w:val="00014ECF"/>
    <w:rsid w:val="00016B85"/>
    <w:rsid w:val="0001763E"/>
    <w:rsid w:val="00017EA6"/>
    <w:rsid w:val="00017EEE"/>
    <w:rsid w:val="0002079D"/>
    <w:rsid w:val="00021013"/>
    <w:rsid w:val="00026283"/>
    <w:rsid w:val="0002655F"/>
    <w:rsid w:val="00026CFD"/>
    <w:rsid w:val="00026F71"/>
    <w:rsid w:val="00027BFA"/>
    <w:rsid w:val="00027D05"/>
    <w:rsid w:val="00031892"/>
    <w:rsid w:val="00031D50"/>
    <w:rsid w:val="00032426"/>
    <w:rsid w:val="00032985"/>
    <w:rsid w:val="00032C47"/>
    <w:rsid w:val="0003429D"/>
    <w:rsid w:val="000347B7"/>
    <w:rsid w:val="000363A6"/>
    <w:rsid w:val="0004054F"/>
    <w:rsid w:val="000406F0"/>
    <w:rsid w:val="00041321"/>
    <w:rsid w:val="00041637"/>
    <w:rsid w:val="0004180B"/>
    <w:rsid w:val="0004196B"/>
    <w:rsid w:val="0004197B"/>
    <w:rsid w:val="00043515"/>
    <w:rsid w:val="00045AF6"/>
    <w:rsid w:val="00046F43"/>
    <w:rsid w:val="00047391"/>
    <w:rsid w:val="00050E4D"/>
    <w:rsid w:val="000512E6"/>
    <w:rsid w:val="00051895"/>
    <w:rsid w:val="00052E60"/>
    <w:rsid w:val="000531A6"/>
    <w:rsid w:val="000535EA"/>
    <w:rsid w:val="0005394A"/>
    <w:rsid w:val="000540BC"/>
    <w:rsid w:val="0005420B"/>
    <w:rsid w:val="00054B7B"/>
    <w:rsid w:val="00055947"/>
    <w:rsid w:val="00055DC3"/>
    <w:rsid w:val="00057A07"/>
    <w:rsid w:val="00057E0F"/>
    <w:rsid w:val="0006050E"/>
    <w:rsid w:val="000605CB"/>
    <w:rsid w:val="00060E70"/>
    <w:rsid w:val="0006113A"/>
    <w:rsid w:val="00061454"/>
    <w:rsid w:val="00062310"/>
    <w:rsid w:val="00062F13"/>
    <w:rsid w:val="00063BB9"/>
    <w:rsid w:val="00064737"/>
    <w:rsid w:val="00064751"/>
    <w:rsid w:val="00065450"/>
    <w:rsid w:val="00065695"/>
    <w:rsid w:val="000657F8"/>
    <w:rsid w:val="00072AF3"/>
    <w:rsid w:val="00073343"/>
    <w:rsid w:val="000750F4"/>
    <w:rsid w:val="0007570C"/>
    <w:rsid w:val="00077F28"/>
    <w:rsid w:val="00081546"/>
    <w:rsid w:val="0008162E"/>
    <w:rsid w:val="000823AC"/>
    <w:rsid w:val="000827F2"/>
    <w:rsid w:val="00082E76"/>
    <w:rsid w:val="00083780"/>
    <w:rsid w:val="00085035"/>
    <w:rsid w:val="000855D6"/>
    <w:rsid w:val="0008698E"/>
    <w:rsid w:val="00086A97"/>
    <w:rsid w:val="00090344"/>
    <w:rsid w:val="000911EB"/>
    <w:rsid w:val="00091A27"/>
    <w:rsid w:val="00091E95"/>
    <w:rsid w:val="00091F01"/>
    <w:rsid w:val="00092BE5"/>
    <w:rsid w:val="0009365D"/>
    <w:rsid w:val="00093FAD"/>
    <w:rsid w:val="000957EC"/>
    <w:rsid w:val="00095D98"/>
    <w:rsid w:val="00096B31"/>
    <w:rsid w:val="000978F3"/>
    <w:rsid w:val="000A070F"/>
    <w:rsid w:val="000A0C83"/>
    <w:rsid w:val="000A1A9A"/>
    <w:rsid w:val="000A36D5"/>
    <w:rsid w:val="000A40A8"/>
    <w:rsid w:val="000A40F9"/>
    <w:rsid w:val="000A783E"/>
    <w:rsid w:val="000B1F27"/>
    <w:rsid w:val="000B2B4F"/>
    <w:rsid w:val="000B3BBF"/>
    <w:rsid w:val="000B5770"/>
    <w:rsid w:val="000B7384"/>
    <w:rsid w:val="000B7583"/>
    <w:rsid w:val="000B7E34"/>
    <w:rsid w:val="000C0A27"/>
    <w:rsid w:val="000C1C0B"/>
    <w:rsid w:val="000C24E4"/>
    <w:rsid w:val="000C396A"/>
    <w:rsid w:val="000C3DC1"/>
    <w:rsid w:val="000C5043"/>
    <w:rsid w:val="000C67BF"/>
    <w:rsid w:val="000C6AA0"/>
    <w:rsid w:val="000C73B4"/>
    <w:rsid w:val="000C7ACE"/>
    <w:rsid w:val="000D0489"/>
    <w:rsid w:val="000D067B"/>
    <w:rsid w:val="000D27E0"/>
    <w:rsid w:val="000D290C"/>
    <w:rsid w:val="000D2F7C"/>
    <w:rsid w:val="000D5F09"/>
    <w:rsid w:val="000D6C3B"/>
    <w:rsid w:val="000D7E12"/>
    <w:rsid w:val="000E0046"/>
    <w:rsid w:val="000E108E"/>
    <w:rsid w:val="000E28F6"/>
    <w:rsid w:val="000E30D6"/>
    <w:rsid w:val="000E46F6"/>
    <w:rsid w:val="000E4C2B"/>
    <w:rsid w:val="000E4C83"/>
    <w:rsid w:val="000E54F2"/>
    <w:rsid w:val="000E5875"/>
    <w:rsid w:val="000E7418"/>
    <w:rsid w:val="000F1AE8"/>
    <w:rsid w:val="000F227A"/>
    <w:rsid w:val="000F28B4"/>
    <w:rsid w:val="000F2C8A"/>
    <w:rsid w:val="000F3EC0"/>
    <w:rsid w:val="000F43A0"/>
    <w:rsid w:val="000F689A"/>
    <w:rsid w:val="000F73B6"/>
    <w:rsid w:val="001032E6"/>
    <w:rsid w:val="001034B1"/>
    <w:rsid w:val="00103A5A"/>
    <w:rsid w:val="00106B35"/>
    <w:rsid w:val="00110A66"/>
    <w:rsid w:val="001110E8"/>
    <w:rsid w:val="00112174"/>
    <w:rsid w:val="00112243"/>
    <w:rsid w:val="00112414"/>
    <w:rsid w:val="0011418D"/>
    <w:rsid w:val="0011450F"/>
    <w:rsid w:val="00114C6A"/>
    <w:rsid w:val="00115487"/>
    <w:rsid w:val="001161DB"/>
    <w:rsid w:val="00116A83"/>
    <w:rsid w:val="00117C2E"/>
    <w:rsid w:val="00121ABD"/>
    <w:rsid w:val="00121F01"/>
    <w:rsid w:val="001220A5"/>
    <w:rsid w:val="00123299"/>
    <w:rsid w:val="00125EB9"/>
    <w:rsid w:val="0012723C"/>
    <w:rsid w:val="00127E5F"/>
    <w:rsid w:val="0013251F"/>
    <w:rsid w:val="00133412"/>
    <w:rsid w:val="00133B6D"/>
    <w:rsid w:val="00135CE7"/>
    <w:rsid w:val="00136667"/>
    <w:rsid w:val="00136B38"/>
    <w:rsid w:val="00137508"/>
    <w:rsid w:val="001401D5"/>
    <w:rsid w:val="00141282"/>
    <w:rsid w:val="00142C67"/>
    <w:rsid w:val="001445A1"/>
    <w:rsid w:val="001446B2"/>
    <w:rsid w:val="00145266"/>
    <w:rsid w:val="001457D8"/>
    <w:rsid w:val="00145BC7"/>
    <w:rsid w:val="00146FAB"/>
    <w:rsid w:val="00147D9D"/>
    <w:rsid w:val="001501C8"/>
    <w:rsid w:val="00150546"/>
    <w:rsid w:val="00151855"/>
    <w:rsid w:val="00152337"/>
    <w:rsid w:val="0015350E"/>
    <w:rsid w:val="0015361A"/>
    <w:rsid w:val="001546D9"/>
    <w:rsid w:val="0015570F"/>
    <w:rsid w:val="00155CFC"/>
    <w:rsid w:val="00155D8E"/>
    <w:rsid w:val="00156AA4"/>
    <w:rsid w:val="00160921"/>
    <w:rsid w:val="00160DF5"/>
    <w:rsid w:val="00161B4C"/>
    <w:rsid w:val="00161C08"/>
    <w:rsid w:val="00162D6F"/>
    <w:rsid w:val="00164948"/>
    <w:rsid w:val="00164D54"/>
    <w:rsid w:val="00165095"/>
    <w:rsid w:val="00165C2C"/>
    <w:rsid w:val="00166F8C"/>
    <w:rsid w:val="00167738"/>
    <w:rsid w:val="00171080"/>
    <w:rsid w:val="00172FEE"/>
    <w:rsid w:val="001741F3"/>
    <w:rsid w:val="00174D5F"/>
    <w:rsid w:val="00174EAD"/>
    <w:rsid w:val="0017548B"/>
    <w:rsid w:val="001761FB"/>
    <w:rsid w:val="001762E1"/>
    <w:rsid w:val="0017663D"/>
    <w:rsid w:val="00177AFA"/>
    <w:rsid w:val="00177B8A"/>
    <w:rsid w:val="00177F27"/>
    <w:rsid w:val="001809BC"/>
    <w:rsid w:val="00180D94"/>
    <w:rsid w:val="001829EA"/>
    <w:rsid w:val="001871CB"/>
    <w:rsid w:val="001871FC"/>
    <w:rsid w:val="001872AB"/>
    <w:rsid w:val="00190182"/>
    <w:rsid w:val="00190765"/>
    <w:rsid w:val="001912E3"/>
    <w:rsid w:val="00191807"/>
    <w:rsid w:val="0019195F"/>
    <w:rsid w:val="0019241F"/>
    <w:rsid w:val="001951F5"/>
    <w:rsid w:val="00195A07"/>
    <w:rsid w:val="00195D85"/>
    <w:rsid w:val="001967EB"/>
    <w:rsid w:val="00197114"/>
    <w:rsid w:val="001A0124"/>
    <w:rsid w:val="001A095E"/>
    <w:rsid w:val="001A09CB"/>
    <w:rsid w:val="001A0EA8"/>
    <w:rsid w:val="001A151C"/>
    <w:rsid w:val="001A1843"/>
    <w:rsid w:val="001A2368"/>
    <w:rsid w:val="001A2BB5"/>
    <w:rsid w:val="001A324A"/>
    <w:rsid w:val="001A4390"/>
    <w:rsid w:val="001A610F"/>
    <w:rsid w:val="001B0129"/>
    <w:rsid w:val="001B1702"/>
    <w:rsid w:val="001B4C59"/>
    <w:rsid w:val="001B569A"/>
    <w:rsid w:val="001B69B5"/>
    <w:rsid w:val="001B7B47"/>
    <w:rsid w:val="001C03D4"/>
    <w:rsid w:val="001C1623"/>
    <w:rsid w:val="001C4831"/>
    <w:rsid w:val="001C5E77"/>
    <w:rsid w:val="001C7045"/>
    <w:rsid w:val="001C77B8"/>
    <w:rsid w:val="001D05F2"/>
    <w:rsid w:val="001D0DE3"/>
    <w:rsid w:val="001D228E"/>
    <w:rsid w:val="001D350D"/>
    <w:rsid w:val="001D5A6D"/>
    <w:rsid w:val="001D6721"/>
    <w:rsid w:val="001D69B0"/>
    <w:rsid w:val="001D7696"/>
    <w:rsid w:val="001D7972"/>
    <w:rsid w:val="001E0486"/>
    <w:rsid w:val="001E0A10"/>
    <w:rsid w:val="001E1716"/>
    <w:rsid w:val="001E1782"/>
    <w:rsid w:val="001E1BB0"/>
    <w:rsid w:val="001E23B5"/>
    <w:rsid w:val="001E4C6A"/>
    <w:rsid w:val="001E4F2E"/>
    <w:rsid w:val="001E5193"/>
    <w:rsid w:val="001E53B7"/>
    <w:rsid w:val="001E5916"/>
    <w:rsid w:val="001E59D1"/>
    <w:rsid w:val="001E66D0"/>
    <w:rsid w:val="001E7D0F"/>
    <w:rsid w:val="001F0065"/>
    <w:rsid w:val="001F0F9B"/>
    <w:rsid w:val="001F1073"/>
    <w:rsid w:val="001F1484"/>
    <w:rsid w:val="001F1F73"/>
    <w:rsid w:val="001F2792"/>
    <w:rsid w:val="001F282B"/>
    <w:rsid w:val="001F3605"/>
    <w:rsid w:val="001F4A42"/>
    <w:rsid w:val="001F5405"/>
    <w:rsid w:val="001F5D17"/>
    <w:rsid w:val="001F5F30"/>
    <w:rsid w:val="001F619A"/>
    <w:rsid w:val="001F73A9"/>
    <w:rsid w:val="001F78F0"/>
    <w:rsid w:val="0020021E"/>
    <w:rsid w:val="0020252A"/>
    <w:rsid w:val="00202821"/>
    <w:rsid w:val="00203D6F"/>
    <w:rsid w:val="002044F4"/>
    <w:rsid w:val="002056B0"/>
    <w:rsid w:val="002072E0"/>
    <w:rsid w:val="0020738B"/>
    <w:rsid w:val="0020762E"/>
    <w:rsid w:val="002100C7"/>
    <w:rsid w:val="0021012D"/>
    <w:rsid w:val="002105AB"/>
    <w:rsid w:val="0021143C"/>
    <w:rsid w:val="00213D3F"/>
    <w:rsid w:val="00213E67"/>
    <w:rsid w:val="002147E9"/>
    <w:rsid w:val="002147F0"/>
    <w:rsid w:val="002175C8"/>
    <w:rsid w:val="00217C0F"/>
    <w:rsid w:val="00217E09"/>
    <w:rsid w:val="0022319F"/>
    <w:rsid w:val="00224000"/>
    <w:rsid w:val="0022575D"/>
    <w:rsid w:val="002257E9"/>
    <w:rsid w:val="00225815"/>
    <w:rsid w:val="00225AFB"/>
    <w:rsid w:val="002266E8"/>
    <w:rsid w:val="002268F5"/>
    <w:rsid w:val="002302F8"/>
    <w:rsid w:val="00230590"/>
    <w:rsid w:val="0023066A"/>
    <w:rsid w:val="00230743"/>
    <w:rsid w:val="00230C5F"/>
    <w:rsid w:val="00230F48"/>
    <w:rsid w:val="002325B6"/>
    <w:rsid w:val="00233FD4"/>
    <w:rsid w:val="002345EA"/>
    <w:rsid w:val="0023550B"/>
    <w:rsid w:val="00236427"/>
    <w:rsid w:val="002404CB"/>
    <w:rsid w:val="002411AF"/>
    <w:rsid w:val="00241E0C"/>
    <w:rsid w:val="0024201E"/>
    <w:rsid w:val="002425AE"/>
    <w:rsid w:val="00243A7A"/>
    <w:rsid w:val="0024548E"/>
    <w:rsid w:val="0024580E"/>
    <w:rsid w:val="00247114"/>
    <w:rsid w:val="002502B6"/>
    <w:rsid w:val="0025033F"/>
    <w:rsid w:val="00250D5B"/>
    <w:rsid w:val="0025278C"/>
    <w:rsid w:val="002531DD"/>
    <w:rsid w:val="00253934"/>
    <w:rsid w:val="00253E6D"/>
    <w:rsid w:val="00254182"/>
    <w:rsid w:val="002547FC"/>
    <w:rsid w:val="002561EA"/>
    <w:rsid w:val="002570DD"/>
    <w:rsid w:val="00257DEF"/>
    <w:rsid w:val="00260F46"/>
    <w:rsid w:val="002615BE"/>
    <w:rsid w:val="00261607"/>
    <w:rsid w:val="0026206C"/>
    <w:rsid w:val="002620B7"/>
    <w:rsid w:val="002627B7"/>
    <w:rsid w:val="00262C2A"/>
    <w:rsid w:val="00262EFB"/>
    <w:rsid w:val="002631C1"/>
    <w:rsid w:val="0026369D"/>
    <w:rsid w:val="0026378E"/>
    <w:rsid w:val="00263D1B"/>
    <w:rsid w:val="00265700"/>
    <w:rsid w:val="00265902"/>
    <w:rsid w:val="0026634B"/>
    <w:rsid w:val="0026643C"/>
    <w:rsid w:val="0026664A"/>
    <w:rsid w:val="00267D85"/>
    <w:rsid w:val="00270624"/>
    <w:rsid w:val="0027234A"/>
    <w:rsid w:val="00273553"/>
    <w:rsid w:val="00273E81"/>
    <w:rsid w:val="002755C6"/>
    <w:rsid w:val="0027626D"/>
    <w:rsid w:val="0027637D"/>
    <w:rsid w:val="00276825"/>
    <w:rsid w:val="002774A8"/>
    <w:rsid w:val="002776E7"/>
    <w:rsid w:val="00277818"/>
    <w:rsid w:val="00277CD8"/>
    <w:rsid w:val="00280441"/>
    <w:rsid w:val="002811CA"/>
    <w:rsid w:val="00281FF4"/>
    <w:rsid w:val="0028357C"/>
    <w:rsid w:val="00283906"/>
    <w:rsid w:val="002872AA"/>
    <w:rsid w:val="002902FE"/>
    <w:rsid w:val="00290A56"/>
    <w:rsid w:val="0029179D"/>
    <w:rsid w:val="0029191B"/>
    <w:rsid w:val="002934C9"/>
    <w:rsid w:val="00293693"/>
    <w:rsid w:val="00294773"/>
    <w:rsid w:val="00295029"/>
    <w:rsid w:val="00295A00"/>
    <w:rsid w:val="00296617"/>
    <w:rsid w:val="002A0328"/>
    <w:rsid w:val="002A0836"/>
    <w:rsid w:val="002A0DC9"/>
    <w:rsid w:val="002A2342"/>
    <w:rsid w:val="002A25D4"/>
    <w:rsid w:val="002A32FA"/>
    <w:rsid w:val="002A332B"/>
    <w:rsid w:val="002A6619"/>
    <w:rsid w:val="002A6E16"/>
    <w:rsid w:val="002A73BC"/>
    <w:rsid w:val="002A7964"/>
    <w:rsid w:val="002B00BA"/>
    <w:rsid w:val="002B10D5"/>
    <w:rsid w:val="002B1AA3"/>
    <w:rsid w:val="002B33D3"/>
    <w:rsid w:val="002B431A"/>
    <w:rsid w:val="002B466B"/>
    <w:rsid w:val="002B4908"/>
    <w:rsid w:val="002B5BAD"/>
    <w:rsid w:val="002C085D"/>
    <w:rsid w:val="002C0EF7"/>
    <w:rsid w:val="002C1601"/>
    <w:rsid w:val="002C17FB"/>
    <w:rsid w:val="002C18DE"/>
    <w:rsid w:val="002C2384"/>
    <w:rsid w:val="002C2AB1"/>
    <w:rsid w:val="002C2CEE"/>
    <w:rsid w:val="002C4271"/>
    <w:rsid w:val="002C48C0"/>
    <w:rsid w:val="002C5973"/>
    <w:rsid w:val="002C6071"/>
    <w:rsid w:val="002C651A"/>
    <w:rsid w:val="002C6948"/>
    <w:rsid w:val="002C6FDE"/>
    <w:rsid w:val="002C6FEF"/>
    <w:rsid w:val="002C791D"/>
    <w:rsid w:val="002C7F3D"/>
    <w:rsid w:val="002D03DE"/>
    <w:rsid w:val="002D0404"/>
    <w:rsid w:val="002D0697"/>
    <w:rsid w:val="002D129A"/>
    <w:rsid w:val="002D31E9"/>
    <w:rsid w:val="002D32F3"/>
    <w:rsid w:val="002D3960"/>
    <w:rsid w:val="002D47B9"/>
    <w:rsid w:val="002D5981"/>
    <w:rsid w:val="002D5A29"/>
    <w:rsid w:val="002D5C5E"/>
    <w:rsid w:val="002D627F"/>
    <w:rsid w:val="002D7EC5"/>
    <w:rsid w:val="002E0863"/>
    <w:rsid w:val="002E1348"/>
    <w:rsid w:val="002E1911"/>
    <w:rsid w:val="002E1B0F"/>
    <w:rsid w:val="002E1CDA"/>
    <w:rsid w:val="002E264F"/>
    <w:rsid w:val="002E2820"/>
    <w:rsid w:val="002E37DB"/>
    <w:rsid w:val="002E3DDE"/>
    <w:rsid w:val="002E4ADF"/>
    <w:rsid w:val="002E53C9"/>
    <w:rsid w:val="002E5CA4"/>
    <w:rsid w:val="002E78DC"/>
    <w:rsid w:val="002F0977"/>
    <w:rsid w:val="002F121D"/>
    <w:rsid w:val="002F1755"/>
    <w:rsid w:val="002F21CF"/>
    <w:rsid w:val="002F32B0"/>
    <w:rsid w:val="002F3F51"/>
    <w:rsid w:val="002F50C3"/>
    <w:rsid w:val="002F5709"/>
    <w:rsid w:val="002F6EA8"/>
    <w:rsid w:val="002F6FAC"/>
    <w:rsid w:val="00302B4C"/>
    <w:rsid w:val="00303440"/>
    <w:rsid w:val="003035B8"/>
    <w:rsid w:val="0030396F"/>
    <w:rsid w:val="00305F9F"/>
    <w:rsid w:val="00306541"/>
    <w:rsid w:val="0031036C"/>
    <w:rsid w:val="003112C9"/>
    <w:rsid w:val="0031158E"/>
    <w:rsid w:val="00312B13"/>
    <w:rsid w:val="0031316C"/>
    <w:rsid w:val="00313328"/>
    <w:rsid w:val="00313AF1"/>
    <w:rsid w:val="00315B37"/>
    <w:rsid w:val="00316515"/>
    <w:rsid w:val="003166DD"/>
    <w:rsid w:val="003167D5"/>
    <w:rsid w:val="00316975"/>
    <w:rsid w:val="00317FBD"/>
    <w:rsid w:val="00317FEE"/>
    <w:rsid w:val="0032087E"/>
    <w:rsid w:val="00320FCC"/>
    <w:rsid w:val="00321A77"/>
    <w:rsid w:val="00321D9B"/>
    <w:rsid w:val="00321E06"/>
    <w:rsid w:val="00322714"/>
    <w:rsid w:val="00322BD8"/>
    <w:rsid w:val="00323733"/>
    <w:rsid w:val="00323E2B"/>
    <w:rsid w:val="003248E3"/>
    <w:rsid w:val="00324A76"/>
    <w:rsid w:val="00326FF5"/>
    <w:rsid w:val="003276E2"/>
    <w:rsid w:val="003278B0"/>
    <w:rsid w:val="0032798B"/>
    <w:rsid w:val="003303C7"/>
    <w:rsid w:val="00331665"/>
    <w:rsid w:val="00331A9B"/>
    <w:rsid w:val="00331FA8"/>
    <w:rsid w:val="0033224A"/>
    <w:rsid w:val="00332FDD"/>
    <w:rsid w:val="00333443"/>
    <w:rsid w:val="00333EFD"/>
    <w:rsid w:val="00334588"/>
    <w:rsid w:val="00334E3E"/>
    <w:rsid w:val="003350B3"/>
    <w:rsid w:val="00340D6E"/>
    <w:rsid w:val="00341797"/>
    <w:rsid w:val="00341CE2"/>
    <w:rsid w:val="00342B90"/>
    <w:rsid w:val="003439F9"/>
    <w:rsid w:val="00343B66"/>
    <w:rsid w:val="0034455B"/>
    <w:rsid w:val="00344B75"/>
    <w:rsid w:val="00345362"/>
    <w:rsid w:val="0034586A"/>
    <w:rsid w:val="00345CB3"/>
    <w:rsid w:val="0034605A"/>
    <w:rsid w:val="003462B6"/>
    <w:rsid w:val="0034751E"/>
    <w:rsid w:val="00350933"/>
    <w:rsid w:val="00350A95"/>
    <w:rsid w:val="00350C94"/>
    <w:rsid w:val="0035307E"/>
    <w:rsid w:val="003542B1"/>
    <w:rsid w:val="00354F79"/>
    <w:rsid w:val="00355561"/>
    <w:rsid w:val="00356EF8"/>
    <w:rsid w:val="00357EF6"/>
    <w:rsid w:val="003607BD"/>
    <w:rsid w:val="003628EE"/>
    <w:rsid w:val="00362EA6"/>
    <w:rsid w:val="0036307D"/>
    <w:rsid w:val="00364245"/>
    <w:rsid w:val="003646D2"/>
    <w:rsid w:val="00365A27"/>
    <w:rsid w:val="00366548"/>
    <w:rsid w:val="00366A5F"/>
    <w:rsid w:val="00366B8D"/>
    <w:rsid w:val="00370B39"/>
    <w:rsid w:val="00371E50"/>
    <w:rsid w:val="00372757"/>
    <w:rsid w:val="0037278F"/>
    <w:rsid w:val="00380D25"/>
    <w:rsid w:val="00381551"/>
    <w:rsid w:val="0038165A"/>
    <w:rsid w:val="00382489"/>
    <w:rsid w:val="003825E6"/>
    <w:rsid w:val="003828BF"/>
    <w:rsid w:val="0038355E"/>
    <w:rsid w:val="0038358F"/>
    <w:rsid w:val="0038401E"/>
    <w:rsid w:val="00384EB5"/>
    <w:rsid w:val="00385275"/>
    <w:rsid w:val="003855C1"/>
    <w:rsid w:val="0038563A"/>
    <w:rsid w:val="00385957"/>
    <w:rsid w:val="003902FA"/>
    <w:rsid w:val="003927E4"/>
    <w:rsid w:val="00392FC5"/>
    <w:rsid w:val="00394BFE"/>
    <w:rsid w:val="00394FCA"/>
    <w:rsid w:val="003952EE"/>
    <w:rsid w:val="003971FD"/>
    <w:rsid w:val="003972A9"/>
    <w:rsid w:val="003974A8"/>
    <w:rsid w:val="0039754F"/>
    <w:rsid w:val="0039781C"/>
    <w:rsid w:val="003A0C7E"/>
    <w:rsid w:val="003A1AC4"/>
    <w:rsid w:val="003A46AF"/>
    <w:rsid w:val="003A4AC6"/>
    <w:rsid w:val="003A65CC"/>
    <w:rsid w:val="003A7B7D"/>
    <w:rsid w:val="003B0377"/>
    <w:rsid w:val="003B0941"/>
    <w:rsid w:val="003B0B94"/>
    <w:rsid w:val="003B22F3"/>
    <w:rsid w:val="003B2D0F"/>
    <w:rsid w:val="003B38B2"/>
    <w:rsid w:val="003B4884"/>
    <w:rsid w:val="003B66C0"/>
    <w:rsid w:val="003B6E01"/>
    <w:rsid w:val="003B7B1A"/>
    <w:rsid w:val="003C115E"/>
    <w:rsid w:val="003C2270"/>
    <w:rsid w:val="003C22F0"/>
    <w:rsid w:val="003C3376"/>
    <w:rsid w:val="003C396F"/>
    <w:rsid w:val="003C53CA"/>
    <w:rsid w:val="003C54B3"/>
    <w:rsid w:val="003C553A"/>
    <w:rsid w:val="003C7786"/>
    <w:rsid w:val="003C7997"/>
    <w:rsid w:val="003D08AB"/>
    <w:rsid w:val="003D0A70"/>
    <w:rsid w:val="003D11F5"/>
    <w:rsid w:val="003D375A"/>
    <w:rsid w:val="003D3CCA"/>
    <w:rsid w:val="003D4424"/>
    <w:rsid w:val="003D4466"/>
    <w:rsid w:val="003D5758"/>
    <w:rsid w:val="003D6E03"/>
    <w:rsid w:val="003D7DCA"/>
    <w:rsid w:val="003E164F"/>
    <w:rsid w:val="003E193E"/>
    <w:rsid w:val="003E20C8"/>
    <w:rsid w:val="003E2A20"/>
    <w:rsid w:val="003E356D"/>
    <w:rsid w:val="003E5372"/>
    <w:rsid w:val="003E5DC8"/>
    <w:rsid w:val="003E6907"/>
    <w:rsid w:val="003E6A80"/>
    <w:rsid w:val="003F03BD"/>
    <w:rsid w:val="003F0CC6"/>
    <w:rsid w:val="003F1445"/>
    <w:rsid w:val="003F2846"/>
    <w:rsid w:val="003F2BC1"/>
    <w:rsid w:val="003F3391"/>
    <w:rsid w:val="003F3808"/>
    <w:rsid w:val="003F627B"/>
    <w:rsid w:val="003F7078"/>
    <w:rsid w:val="003F742C"/>
    <w:rsid w:val="003F79FC"/>
    <w:rsid w:val="004012EF"/>
    <w:rsid w:val="0040147F"/>
    <w:rsid w:val="004017D4"/>
    <w:rsid w:val="00402F66"/>
    <w:rsid w:val="00403197"/>
    <w:rsid w:val="00403574"/>
    <w:rsid w:val="004045DA"/>
    <w:rsid w:val="00404B6F"/>
    <w:rsid w:val="004052FB"/>
    <w:rsid w:val="004053F1"/>
    <w:rsid w:val="00407D16"/>
    <w:rsid w:val="00412652"/>
    <w:rsid w:val="00413383"/>
    <w:rsid w:val="0041487D"/>
    <w:rsid w:val="00414F3E"/>
    <w:rsid w:val="004165D7"/>
    <w:rsid w:val="00417BCC"/>
    <w:rsid w:val="004202C6"/>
    <w:rsid w:val="00420704"/>
    <w:rsid w:val="0042072D"/>
    <w:rsid w:val="0042200D"/>
    <w:rsid w:val="00423721"/>
    <w:rsid w:val="00425214"/>
    <w:rsid w:val="0042565E"/>
    <w:rsid w:val="004265AB"/>
    <w:rsid w:val="00427564"/>
    <w:rsid w:val="0042774B"/>
    <w:rsid w:val="00427EC9"/>
    <w:rsid w:val="004306B0"/>
    <w:rsid w:val="00432C8C"/>
    <w:rsid w:val="00433801"/>
    <w:rsid w:val="00433A68"/>
    <w:rsid w:val="00435CA1"/>
    <w:rsid w:val="0043733D"/>
    <w:rsid w:val="00437CA8"/>
    <w:rsid w:val="00440914"/>
    <w:rsid w:val="00441713"/>
    <w:rsid w:val="004423E2"/>
    <w:rsid w:val="00442D13"/>
    <w:rsid w:val="0044301A"/>
    <w:rsid w:val="00443518"/>
    <w:rsid w:val="00444999"/>
    <w:rsid w:val="00447975"/>
    <w:rsid w:val="00450368"/>
    <w:rsid w:val="004521B8"/>
    <w:rsid w:val="00452DF7"/>
    <w:rsid w:val="00452EB8"/>
    <w:rsid w:val="004537E9"/>
    <w:rsid w:val="00453A00"/>
    <w:rsid w:val="0045487A"/>
    <w:rsid w:val="00454994"/>
    <w:rsid w:val="00456F59"/>
    <w:rsid w:val="00457684"/>
    <w:rsid w:val="00457779"/>
    <w:rsid w:val="00460073"/>
    <w:rsid w:val="00460085"/>
    <w:rsid w:val="00460BCD"/>
    <w:rsid w:val="00461607"/>
    <w:rsid w:val="00461D5D"/>
    <w:rsid w:val="00462137"/>
    <w:rsid w:val="0046286C"/>
    <w:rsid w:val="004637CB"/>
    <w:rsid w:val="00463867"/>
    <w:rsid w:val="00464159"/>
    <w:rsid w:val="00464AC0"/>
    <w:rsid w:val="00464DBA"/>
    <w:rsid w:val="00464F2C"/>
    <w:rsid w:val="00465EC6"/>
    <w:rsid w:val="004672B5"/>
    <w:rsid w:val="00470475"/>
    <w:rsid w:val="00470DCC"/>
    <w:rsid w:val="00471863"/>
    <w:rsid w:val="00471B36"/>
    <w:rsid w:val="004725DD"/>
    <w:rsid w:val="00473993"/>
    <w:rsid w:val="00473DD7"/>
    <w:rsid w:val="004749D7"/>
    <w:rsid w:val="00475AE1"/>
    <w:rsid w:val="0047604F"/>
    <w:rsid w:val="004760A7"/>
    <w:rsid w:val="00476B4E"/>
    <w:rsid w:val="00477082"/>
    <w:rsid w:val="004775FB"/>
    <w:rsid w:val="00477F1A"/>
    <w:rsid w:val="0048051A"/>
    <w:rsid w:val="00481569"/>
    <w:rsid w:val="00482E0D"/>
    <w:rsid w:val="0048330A"/>
    <w:rsid w:val="00483833"/>
    <w:rsid w:val="004840CA"/>
    <w:rsid w:val="00484268"/>
    <w:rsid w:val="00484A25"/>
    <w:rsid w:val="0048645F"/>
    <w:rsid w:val="00486FCA"/>
    <w:rsid w:val="004879AE"/>
    <w:rsid w:val="00491A0B"/>
    <w:rsid w:val="00491A4F"/>
    <w:rsid w:val="00493975"/>
    <w:rsid w:val="00494B1F"/>
    <w:rsid w:val="00494BFB"/>
    <w:rsid w:val="0049609C"/>
    <w:rsid w:val="0049631D"/>
    <w:rsid w:val="004A042D"/>
    <w:rsid w:val="004A09A7"/>
    <w:rsid w:val="004A0DFB"/>
    <w:rsid w:val="004A0F0A"/>
    <w:rsid w:val="004A2E0C"/>
    <w:rsid w:val="004A33B3"/>
    <w:rsid w:val="004A3E29"/>
    <w:rsid w:val="004A41EC"/>
    <w:rsid w:val="004A44B8"/>
    <w:rsid w:val="004A4E65"/>
    <w:rsid w:val="004A7BFA"/>
    <w:rsid w:val="004B2CD1"/>
    <w:rsid w:val="004B37BA"/>
    <w:rsid w:val="004B4451"/>
    <w:rsid w:val="004B44B8"/>
    <w:rsid w:val="004B48CC"/>
    <w:rsid w:val="004B4E12"/>
    <w:rsid w:val="004B5A23"/>
    <w:rsid w:val="004C18E6"/>
    <w:rsid w:val="004C255F"/>
    <w:rsid w:val="004C2F7F"/>
    <w:rsid w:val="004C41C8"/>
    <w:rsid w:val="004C4775"/>
    <w:rsid w:val="004C4A0A"/>
    <w:rsid w:val="004C749A"/>
    <w:rsid w:val="004C77B4"/>
    <w:rsid w:val="004D234F"/>
    <w:rsid w:val="004D291C"/>
    <w:rsid w:val="004D3314"/>
    <w:rsid w:val="004D4F94"/>
    <w:rsid w:val="004D5322"/>
    <w:rsid w:val="004D6133"/>
    <w:rsid w:val="004D6B90"/>
    <w:rsid w:val="004D7627"/>
    <w:rsid w:val="004D7830"/>
    <w:rsid w:val="004D7937"/>
    <w:rsid w:val="004E0A8F"/>
    <w:rsid w:val="004E0C8F"/>
    <w:rsid w:val="004E2C52"/>
    <w:rsid w:val="004E369C"/>
    <w:rsid w:val="004E3842"/>
    <w:rsid w:val="004E39CB"/>
    <w:rsid w:val="004E6F21"/>
    <w:rsid w:val="004E78D1"/>
    <w:rsid w:val="004F1065"/>
    <w:rsid w:val="004F1927"/>
    <w:rsid w:val="004F1DFF"/>
    <w:rsid w:val="004F201D"/>
    <w:rsid w:val="004F2256"/>
    <w:rsid w:val="004F4B7B"/>
    <w:rsid w:val="004F5605"/>
    <w:rsid w:val="004F591F"/>
    <w:rsid w:val="004F5D3B"/>
    <w:rsid w:val="004F5F7E"/>
    <w:rsid w:val="004F77E3"/>
    <w:rsid w:val="005020A7"/>
    <w:rsid w:val="0050233A"/>
    <w:rsid w:val="0050241A"/>
    <w:rsid w:val="00505243"/>
    <w:rsid w:val="0050528F"/>
    <w:rsid w:val="005053AB"/>
    <w:rsid w:val="005061C4"/>
    <w:rsid w:val="005066FE"/>
    <w:rsid w:val="0050755C"/>
    <w:rsid w:val="00507792"/>
    <w:rsid w:val="00507AEF"/>
    <w:rsid w:val="005109A6"/>
    <w:rsid w:val="00511D87"/>
    <w:rsid w:val="00515703"/>
    <w:rsid w:val="00515A8F"/>
    <w:rsid w:val="00516BD5"/>
    <w:rsid w:val="00516D00"/>
    <w:rsid w:val="00516F41"/>
    <w:rsid w:val="0051752D"/>
    <w:rsid w:val="00520511"/>
    <w:rsid w:val="00520E60"/>
    <w:rsid w:val="00520FE4"/>
    <w:rsid w:val="00522885"/>
    <w:rsid w:val="00523A39"/>
    <w:rsid w:val="005249DB"/>
    <w:rsid w:val="00525322"/>
    <w:rsid w:val="005261B0"/>
    <w:rsid w:val="00526F9C"/>
    <w:rsid w:val="0052707F"/>
    <w:rsid w:val="00527940"/>
    <w:rsid w:val="00527B10"/>
    <w:rsid w:val="005310C2"/>
    <w:rsid w:val="005315D5"/>
    <w:rsid w:val="00531AD1"/>
    <w:rsid w:val="005329DE"/>
    <w:rsid w:val="00534807"/>
    <w:rsid w:val="00534D41"/>
    <w:rsid w:val="0053575B"/>
    <w:rsid w:val="00537300"/>
    <w:rsid w:val="00540925"/>
    <w:rsid w:val="00541670"/>
    <w:rsid w:val="0054174D"/>
    <w:rsid w:val="00541B31"/>
    <w:rsid w:val="005428FA"/>
    <w:rsid w:val="0054365A"/>
    <w:rsid w:val="00544379"/>
    <w:rsid w:val="00545D45"/>
    <w:rsid w:val="00545F12"/>
    <w:rsid w:val="00546787"/>
    <w:rsid w:val="00546B84"/>
    <w:rsid w:val="00547965"/>
    <w:rsid w:val="00550240"/>
    <w:rsid w:val="00550FE8"/>
    <w:rsid w:val="0055125E"/>
    <w:rsid w:val="0055125F"/>
    <w:rsid w:val="005520FB"/>
    <w:rsid w:val="005521CF"/>
    <w:rsid w:val="00553F93"/>
    <w:rsid w:val="00554B42"/>
    <w:rsid w:val="005552CC"/>
    <w:rsid w:val="00555AB0"/>
    <w:rsid w:val="0055624F"/>
    <w:rsid w:val="00556799"/>
    <w:rsid w:val="00556B8A"/>
    <w:rsid w:val="005577FB"/>
    <w:rsid w:val="00557D9D"/>
    <w:rsid w:val="005602C2"/>
    <w:rsid w:val="005603D8"/>
    <w:rsid w:val="00560437"/>
    <w:rsid w:val="00561388"/>
    <w:rsid w:val="00561962"/>
    <w:rsid w:val="0056488D"/>
    <w:rsid w:val="0056575F"/>
    <w:rsid w:val="00565E4B"/>
    <w:rsid w:val="00567012"/>
    <w:rsid w:val="00567266"/>
    <w:rsid w:val="005679AF"/>
    <w:rsid w:val="005724F2"/>
    <w:rsid w:val="005742ED"/>
    <w:rsid w:val="00574867"/>
    <w:rsid w:val="0057497B"/>
    <w:rsid w:val="00574D32"/>
    <w:rsid w:val="00574FD4"/>
    <w:rsid w:val="00575C16"/>
    <w:rsid w:val="00577725"/>
    <w:rsid w:val="00577B87"/>
    <w:rsid w:val="00580957"/>
    <w:rsid w:val="00581631"/>
    <w:rsid w:val="005821E8"/>
    <w:rsid w:val="005824CB"/>
    <w:rsid w:val="00583682"/>
    <w:rsid w:val="00583E19"/>
    <w:rsid w:val="005845C1"/>
    <w:rsid w:val="00584710"/>
    <w:rsid w:val="00586183"/>
    <w:rsid w:val="0058726C"/>
    <w:rsid w:val="00590573"/>
    <w:rsid w:val="00590DF1"/>
    <w:rsid w:val="005911EA"/>
    <w:rsid w:val="00591759"/>
    <w:rsid w:val="00593A27"/>
    <w:rsid w:val="00593CB8"/>
    <w:rsid w:val="00594B27"/>
    <w:rsid w:val="0059500C"/>
    <w:rsid w:val="00595087"/>
    <w:rsid w:val="0059609D"/>
    <w:rsid w:val="0059754B"/>
    <w:rsid w:val="00597868"/>
    <w:rsid w:val="005A0030"/>
    <w:rsid w:val="005A11AE"/>
    <w:rsid w:val="005A4073"/>
    <w:rsid w:val="005A4F0A"/>
    <w:rsid w:val="005A5489"/>
    <w:rsid w:val="005A74B5"/>
    <w:rsid w:val="005A7584"/>
    <w:rsid w:val="005A76BB"/>
    <w:rsid w:val="005A7AE8"/>
    <w:rsid w:val="005B0100"/>
    <w:rsid w:val="005B0AFC"/>
    <w:rsid w:val="005B3136"/>
    <w:rsid w:val="005B5656"/>
    <w:rsid w:val="005B5A10"/>
    <w:rsid w:val="005B6135"/>
    <w:rsid w:val="005B6771"/>
    <w:rsid w:val="005B68F5"/>
    <w:rsid w:val="005B6D78"/>
    <w:rsid w:val="005C0963"/>
    <w:rsid w:val="005C0B74"/>
    <w:rsid w:val="005C1157"/>
    <w:rsid w:val="005C2829"/>
    <w:rsid w:val="005C3A7A"/>
    <w:rsid w:val="005C40CA"/>
    <w:rsid w:val="005C5C68"/>
    <w:rsid w:val="005C7592"/>
    <w:rsid w:val="005D053E"/>
    <w:rsid w:val="005D064B"/>
    <w:rsid w:val="005D0CEB"/>
    <w:rsid w:val="005D14B2"/>
    <w:rsid w:val="005D1A68"/>
    <w:rsid w:val="005D2098"/>
    <w:rsid w:val="005D243F"/>
    <w:rsid w:val="005D340A"/>
    <w:rsid w:val="005D383E"/>
    <w:rsid w:val="005D3AD5"/>
    <w:rsid w:val="005D4114"/>
    <w:rsid w:val="005D514D"/>
    <w:rsid w:val="005D5569"/>
    <w:rsid w:val="005D57DB"/>
    <w:rsid w:val="005D5F56"/>
    <w:rsid w:val="005D688C"/>
    <w:rsid w:val="005D6BDB"/>
    <w:rsid w:val="005D6C15"/>
    <w:rsid w:val="005D7485"/>
    <w:rsid w:val="005E0622"/>
    <w:rsid w:val="005E09B8"/>
    <w:rsid w:val="005E1D04"/>
    <w:rsid w:val="005E3997"/>
    <w:rsid w:val="005E4217"/>
    <w:rsid w:val="005E4617"/>
    <w:rsid w:val="005E4967"/>
    <w:rsid w:val="005E4DB2"/>
    <w:rsid w:val="005E5026"/>
    <w:rsid w:val="005E5E0B"/>
    <w:rsid w:val="005E5E3E"/>
    <w:rsid w:val="005E6297"/>
    <w:rsid w:val="005E6A3C"/>
    <w:rsid w:val="005E703B"/>
    <w:rsid w:val="005F0571"/>
    <w:rsid w:val="005F160C"/>
    <w:rsid w:val="005F196B"/>
    <w:rsid w:val="005F1FDA"/>
    <w:rsid w:val="005F27E8"/>
    <w:rsid w:val="005F34CE"/>
    <w:rsid w:val="005F5553"/>
    <w:rsid w:val="005F5D24"/>
    <w:rsid w:val="005F5EEE"/>
    <w:rsid w:val="0060238A"/>
    <w:rsid w:val="00603EB1"/>
    <w:rsid w:val="006050D0"/>
    <w:rsid w:val="006051B5"/>
    <w:rsid w:val="0060536B"/>
    <w:rsid w:val="0060540F"/>
    <w:rsid w:val="0060583A"/>
    <w:rsid w:val="0060638D"/>
    <w:rsid w:val="006068BF"/>
    <w:rsid w:val="00606A27"/>
    <w:rsid w:val="0061060B"/>
    <w:rsid w:val="006109CE"/>
    <w:rsid w:val="00610A5F"/>
    <w:rsid w:val="006113F3"/>
    <w:rsid w:val="00611BCE"/>
    <w:rsid w:val="006122CA"/>
    <w:rsid w:val="0061289D"/>
    <w:rsid w:val="006130C4"/>
    <w:rsid w:val="00613C17"/>
    <w:rsid w:val="006141B4"/>
    <w:rsid w:val="0061685D"/>
    <w:rsid w:val="00617BC1"/>
    <w:rsid w:val="006210E5"/>
    <w:rsid w:val="00621C53"/>
    <w:rsid w:val="00622E28"/>
    <w:rsid w:val="006241B5"/>
    <w:rsid w:val="00626895"/>
    <w:rsid w:val="00626B57"/>
    <w:rsid w:val="00626C8E"/>
    <w:rsid w:val="006273CA"/>
    <w:rsid w:val="0062798C"/>
    <w:rsid w:val="00631054"/>
    <w:rsid w:val="00631F2E"/>
    <w:rsid w:val="006350C2"/>
    <w:rsid w:val="00635EB8"/>
    <w:rsid w:val="00637788"/>
    <w:rsid w:val="0064081F"/>
    <w:rsid w:val="00640EDA"/>
    <w:rsid w:val="00640F4F"/>
    <w:rsid w:val="0064186A"/>
    <w:rsid w:val="0064251A"/>
    <w:rsid w:val="00642609"/>
    <w:rsid w:val="0064601D"/>
    <w:rsid w:val="0064642A"/>
    <w:rsid w:val="00646827"/>
    <w:rsid w:val="00646F0F"/>
    <w:rsid w:val="00650BB2"/>
    <w:rsid w:val="006517B0"/>
    <w:rsid w:val="00651A4C"/>
    <w:rsid w:val="006520C9"/>
    <w:rsid w:val="0065223D"/>
    <w:rsid w:val="0065346E"/>
    <w:rsid w:val="00654AD3"/>
    <w:rsid w:val="006550F0"/>
    <w:rsid w:val="00656044"/>
    <w:rsid w:val="006565D1"/>
    <w:rsid w:val="006567FC"/>
    <w:rsid w:val="00656B6B"/>
    <w:rsid w:val="00657846"/>
    <w:rsid w:val="00660211"/>
    <w:rsid w:val="0066052A"/>
    <w:rsid w:val="00660A1F"/>
    <w:rsid w:val="00660AF1"/>
    <w:rsid w:val="00660BAA"/>
    <w:rsid w:val="00660FB8"/>
    <w:rsid w:val="00661BC8"/>
    <w:rsid w:val="006624A5"/>
    <w:rsid w:val="00662574"/>
    <w:rsid w:val="0066389F"/>
    <w:rsid w:val="00665057"/>
    <w:rsid w:val="0066550A"/>
    <w:rsid w:val="00665F4D"/>
    <w:rsid w:val="00666A88"/>
    <w:rsid w:val="00667804"/>
    <w:rsid w:val="00667C84"/>
    <w:rsid w:val="00667E16"/>
    <w:rsid w:val="006724A5"/>
    <w:rsid w:val="006724B9"/>
    <w:rsid w:val="00672942"/>
    <w:rsid w:val="00673762"/>
    <w:rsid w:val="00675D8F"/>
    <w:rsid w:val="00675F0F"/>
    <w:rsid w:val="006761CB"/>
    <w:rsid w:val="00676EDD"/>
    <w:rsid w:val="00680731"/>
    <w:rsid w:val="00681217"/>
    <w:rsid w:val="00682A46"/>
    <w:rsid w:val="00682B8D"/>
    <w:rsid w:val="00683910"/>
    <w:rsid w:val="006845E6"/>
    <w:rsid w:val="0068690B"/>
    <w:rsid w:val="00686E2C"/>
    <w:rsid w:val="00687018"/>
    <w:rsid w:val="00687514"/>
    <w:rsid w:val="006877B8"/>
    <w:rsid w:val="0068796B"/>
    <w:rsid w:val="00690165"/>
    <w:rsid w:val="0069142B"/>
    <w:rsid w:val="0069189A"/>
    <w:rsid w:val="00692511"/>
    <w:rsid w:val="00693F6B"/>
    <w:rsid w:val="00694D4F"/>
    <w:rsid w:val="006950B0"/>
    <w:rsid w:val="00695753"/>
    <w:rsid w:val="00695CFA"/>
    <w:rsid w:val="00696366"/>
    <w:rsid w:val="006971DD"/>
    <w:rsid w:val="0069736A"/>
    <w:rsid w:val="006A01AA"/>
    <w:rsid w:val="006A0DA2"/>
    <w:rsid w:val="006A29FA"/>
    <w:rsid w:val="006A43F3"/>
    <w:rsid w:val="006A4539"/>
    <w:rsid w:val="006A65FD"/>
    <w:rsid w:val="006A6E68"/>
    <w:rsid w:val="006A70BD"/>
    <w:rsid w:val="006A7865"/>
    <w:rsid w:val="006B17C4"/>
    <w:rsid w:val="006B1B09"/>
    <w:rsid w:val="006B200B"/>
    <w:rsid w:val="006B3539"/>
    <w:rsid w:val="006B3FA2"/>
    <w:rsid w:val="006B457D"/>
    <w:rsid w:val="006B45C3"/>
    <w:rsid w:val="006B47F6"/>
    <w:rsid w:val="006B499D"/>
    <w:rsid w:val="006B52CC"/>
    <w:rsid w:val="006B7066"/>
    <w:rsid w:val="006B7501"/>
    <w:rsid w:val="006B77A6"/>
    <w:rsid w:val="006B798B"/>
    <w:rsid w:val="006B7FFB"/>
    <w:rsid w:val="006C0031"/>
    <w:rsid w:val="006C073B"/>
    <w:rsid w:val="006C0864"/>
    <w:rsid w:val="006C2904"/>
    <w:rsid w:val="006C3050"/>
    <w:rsid w:val="006C37DF"/>
    <w:rsid w:val="006C3C92"/>
    <w:rsid w:val="006C65CF"/>
    <w:rsid w:val="006C679C"/>
    <w:rsid w:val="006D0280"/>
    <w:rsid w:val="006D0381"/>
    <w:rsid w:val="006D14BA"/>
    <w:rsid w:val="006D15F9"/>
    <w:rsid w:val="006D18B1"/>
    <w:rsid w:val="006D1A41"/>
    <w:rsid w:val="006D2322"/>
    <w:rsid w:val="006D44CB"/>
    <w:rsid w:val="006D4CD7"/>
    <w:rsid w:val="006D5194"/>
    <w:rsid w:val="006D6086"/>
    <w:rsid w:val="006D65E9"/>
    <w:rsid w:val="006D7D9A"/>
    <w:rsid w:val="006E11A4"/>
    <w:rsid w:val="006E1F2A"/>
    <w:rsid w:val="006E2F7F"/>
    <w:rsid w:val="006E3108"/>
    <w:rsid w:val="006E3E69"/>
    <w:rsid w:val="006E45E3"/>
    <w:rsid w:val="006E7ED3"/>
    <w:rsid w:val="006F0095"/>
    <w:rsid w:val="006F1D52"/>
    <w:rsid w:val="006F1DAC"/>
    <w:rsid w:val="006F3AAB"/>
    <w:rsid w:val="006F432F"/>
    <w:rsid w:val="006F463E"/>
    <w:rsid w:val="006F6FB6"/>
    <w:rsid w:val="00703227"/>
    <w:rsid w:val="00703A65"/>
    <w:rsid w:val="00703F5F"/>
    <w:rsid w:val="0070591F"/>
    <w:rsid w:val="007062BB"/>
    <w:rsid w:val="00706388"/>
    <w:rsid w:val="00710149"/>
    <w:rsid w:val="007104C4"/>
    <w:rsid w:val="00710584"/>
    <w:rsid w:val="00710D00"/>
    <w:rsid w:val="00710FBE"/>
    <w:rsid w:val="00711878"/>
    <w:rsid w:val="0071343C"/>
    <w:rsid w:val="00713965"/>
    <w:rsid w:val="007141AF"/>
    <w:rsid w:val="007142D8"/>
    <w:rsid w:val="00714DA6"/>
    <w:rsid w:val="0071594C"/>
    <w:rsid w:val="00715C1D"/>
    <w:rsid w:val="0071640D"/>
    <w:rsid w:val="007166D6"/>
    <w:rsid w:val="00716BC7"/>
    <w:rsid w:val="007203E2"/>
    <w:rsid w:val="007213CA"/>
    <w:rsid w:val="00721F15"/>
    <w:rsid w:val="0072337E"/>
    <w:rsid w:val="00723662"/>
    <w:rsid w:val="00724617"/>
    <w:rsid w:val="00724698"/>
    <w:rsid w:val="00725723"/>
    <w:rsid w:val="00726882"/>
    <w:rsid w:val="00726E46"/>
    <w:rsid w:val="00727B9E"/>
    <w:rsid w:val="00730412"/>
    <w:rsid w:val="00731516"/>
    <w:rsid w:val="0073289F"/>
    <w:rsid w:val="007340F9"/>
    <w:rsid w:val="00734B60"/>
    <w:rsid w:val="0073562E"/>
    <w:rsid w:val="007366F1"/>
    <w:rsid w:val="007372AA"/>
    <w:rsid w:val="007404C9"/>
    <w:rsid w:val="0074475F"/>
    <w:rsid w:val="00746D4F"/>
    <w:rsid w:val="007475E7"/>
    <w:rsid w:val="00747AE1"/>
    <w:rsid w:val="00747FDB"/>
    <w:rsid w:val="0075017E"/>
    <w:rsid w:val="00750940"/>
    <w:rsid w:val="00750D11"/>
    <w:rsid w:val="00751785"/>
    <w:rsid w:val="00751B49"/>
    <w:rsid w:val="007538A3"/>
    <w:rsid w:val="0075418B"/>
    <w:rsid w:val="00754532"/>
    <w:rsid w:val="00754600"/>
    <w:rsid w:val="00755052"/>
    <w:rsid w:val="00756831"/>
    <w:rsid w:val="00756AB4"/>
    <w:rsid w:val="007571FE"/>
    <w:rsid w:val="00760101"/>
    <w:rsid w:val="00760255"/>
    <w:rsid w:val="007617AB"/>
    <w:rsid w:val="007629DA"/>
    <w:rsid w:val="00763183"/>
    <w:rsid w:val="007640C3"/>
    <w:rsid w:val="0076410A"/>
    <w:rsid w:val="00764235"/>
    <w:rsid w:val="0076503D"/>
    <w:rsid w:val="00771171"/>
    <w:rsid w:val="007727B1"/>
    <w:rsid w:val="00772A10"/>
    <w:rsid w:val="00772E4E"/>
    <w:rsid w:val="0077347C"/>
    <w:rsid w:val="00773B83"/>
    <w:rsid w:val="00775381"/>
    <w:rsid w:val="007753B3"/>
    <w:rsid w:val="007756C2"/>
    <w:rsid w:val="00775936"/>
    <w:rsid w:val="00776233"/>
    <w:rsid w:val="007775A0"/>
    <w:rsid w:val="007802BE"/>
    <w:rsid w:val="00780401"/>
    <w:rsid w:val="00781970"/>
    <w:rsid w:val="00781EDB"/>
    <w:rsid w:val="00782566"/>
    <w:rsid w:val="00783390"/>
    <w:rsid w:val="00786339"/>
    <w:rsid w:val="0078634A"/>
    <w:rsid w:val="007865E5"/>
    <w:rsid w:val="007869E2"/>
    <w:rsid w:val="0078740C"/>
    <w:rsid w:val="00787ED1"/>
    <w:rsid w:val="0079017A"/>
    <w:rsid w:val="00791AE6"/>
    <w:rsid w:val="00791CD8"/>
    <w:rsid w:val="007927B0"/>
    <w:rsid w:val="00792B69"/>
    <w:rsid w:val="0079357A"/>
    <w:rsid w:val="00794565"/>
    <w:rsid w:val="00797343"/>
    <w:rsid w:val="007978DD"/>
    <w:rsid w:val="00797989"/>
    <w:rsid w:val="007A1028"/>
    <w:rsid w:val="007A2FA2"/>
    <w:rsid w:val="007A3BB1"/>
    <w:rsid w:val="007A5923"/>
    <w:rsid w:val="007A74BD"/>
    <w:rsid w:val="007A7AAE"/>
    <w:rsid w:val="007A7B23"/>
    <w:rsid w:val="007B026E"/>
    <w:rsid w:val="007B0F44"/>
    <w:rsid w:val="007B30C2"/>
    <w:rsid w:val="007B35C4"/>
    <w:rsid w:val="007B35E3"/>
    <w:rsid w:val="007B3EF9"/>
    <w:rsid w:val="007B4738"/>
    <w:rsid w:val="007B4A78"/>
    <w:rsid w:val="007B4DD1"/>
    <w:rsid w:val="007B7D8D"/>
    <w:rsid w:val="007C0C27"/>
    <w:rsid w:val="007C12C3"/>
    <w:rsid w:val="007C1917"/>
    <w:rsid w:val="007C255D"/>
    <w:rsid w:val="007C3165"/>
    <w:rsid w:val="007C3FAB"/>
    <w:rsid w:val="007C4E82"/>
    <w:rsid w:val="007C5918"/>
    <w:rsid w:val="007C5C53"/>
    <w:rsid w:val="007C6A31"/>
    <w:rsid w:val="007C6C71"/>
    <w:rsid w:val="007C735A"/>
    <w:rsid w:val="007C7DE4"/>
    <w:rsid w:val="007D07C0"/>
    <w:rsid w:val="007D164E"/>
    <w:rsid w:val="007D1CB6"/>
    <w:rsid w:val="007D3710"/>
    <w:rsid w:val="007D37E7"/>
    <w:rsid w:val="007D5383"/>
    <w:rsid w:val="007D53F4"/>
    <w:rsid w:val="007D5D26"/>
    <w:rsid w:val="007E0DB8"/>
    <w:rsid w:val="007E2E4B"/>
    <w:rsid w:val="007E2E57"/>
    <w:rsid w:val="007E30CD"/>
    <w:rsid w:val="007E34BE"/>
    <w:rsid w:val="007E4A38"/>
    <w:rsid w:val="007E5244"/>
    <w:rsid w:val="007E5D6D"/>
    <w:rsid w:val="007E5D76"/>
    <w:rsid w:val="007E70FA"/>
    <w:rsid w:val="007F00DA"/>
    <w:rsid w:val="007F2173"/>
    <w:rsid w:val="007F268F"/>
    <w:rsid w:val="007F27D8"/>
    <w:rsid w:val="007F2838"/>
    <w:rsid w:val="007F30EA"/>
    <w:rsid w:val="007F5FE4"/>
    <w:rsid w:val="00800C05"/>
    <w:rsid w:val="00801591"/>
    <w:rsid w:val="00803A82"/>
    <w:rsid w:val="00806E17"/>
    <w:rsid w:val="008074DA"/>
    <w:rsid w:val="00810D92"/>
    <w:rsid w:val="008113DE"/>
    <w:rsid w:val="0081301B"/>
    <w:rsid w:val="00813DE6"/>
    <w:rsid w:val="00814679"/>
    <w:rsid w:val="008147C7"/>
    <w:rsid w:val="00815659"/>
    <w:rsid w:val="00815C90"/>
    <w:rsid w:val="0081615F"/>
    <w:rsid w:val="0081621A"/>
    <w:rsid w:val="00816A3C"/>
    <w:rsid w:val="008219D6"/>
    <w:rsid w:val="0082284A"/>
    <w:rsid w:val="00824051"/>
    <w:rsid w:val="008245C5"/>
    <w:rsid w:val="00825A41"/>
    <w:rsid w:val="00827A30"/>
    <w:rsid w:val="00830219"/>
    <w:rsid w:val="008305C2"/>
    <w:rsid w:val="008310F8"/>
    <w:rsid w:val="008317BA"/>
    <w:rsid w:val="008335E2"/>
    <w:rsid w:val="008343A6"/>
    <w:rsid w:val="00834B57"/>
    <w:rsid w:val="008352DE"/>
    <w:rsid w:val="0083579D"/>
    <w:rsid w:val="008359FB"/>
    <w:rsid w:val="00836DD9"/>
    <w:rsid w:val="00837CB6"/>
    <w:rsid w:val="00840C9C"/>
    <w:rsid w:val="00841100"/>
    <w:rsid w:val="00841172"/>
    <w:rsid w:val="00842A46"/>
    <w:rsid w:val="00843C94"/>
    <w:rsid w:val="00844152"/>
    <w:rsid w:val="008443DC"/>
    <w:rsid w:val="008446DB"/>
    <w:rsid w:val="008458F0"/>
    <w:rsid w:val="00845C03"/>
    <w:rsid w:val="00846C8D"/>
    <w:rsid w:val="00846D32"/>
    <w:rsid w:val="00847CCD"/>
    <w:rsid w:val="008505D4"/>
    <w:rsid w:val="00850883"/>
    <w:rsid w:val="008510C0"/>
    <w:rsid w:val="0085353D"/>
    <w:rsid w:val="00853AEF"/>
    <w:rsid w:val="00856071"/>
    <w:rsid w:val="00856FFC"/>
    <w:rsid w:val="00857BBC"/>
    <w:rsid w:val="00860F3E"/>
    <w:rsid w:val="008622FD"/>
    <w:rsid w:val="0086237C"/>
    <w:rsid w:val="00863370"/>
    <w:rsid w:val="00863491"/>
    <w:rsid w:val="008658AE"/>
    <w:rsid w:val="008662F0"/>
    <w:rsid w:val="0086644F"/>
    <w:rsid w:val="0086716E"/>
    <w:rsid w:val="00867863"/>
    <w:rsid w:val="008702A9"/>
    <w:rsid w:val="008713AC"/>
    <w:rsid w:val="00871D2A"/>
    <w:rsid w:val="00872912"/>
    <w:rsid w:val="00874BE4"/>
    <w:rsid w:val="00874FC0"/>
    <w:rsid w:val="00876109"/>
    <w:rsid w:val="008765B7"/>
    <w:rsid w:val="00876735"/>
    <w:rsid w:val="00877CED"/>
    <w:rsid w:val="00877E3A"/>
    <w:rsid w:val="008815A5"/>
    <w:rsid w:val="0088201E"/>
    <w:rsid w:val="008829CB"/>
    <w:rsid w:val="00883CFD"/>
    <w:rsid w:val="00883F74"/>
    <w:rsid w:val="00884366"/>
    <w:rsid w:val="00884859"/>
    <w:rsid w:val="00884918"/>
    <w:rsid w:val="00885A2C"/>
    <w:rsid w:val="00885C13"/>
    <w:rsid w:val="00886097"/>
    <w:rsid w:val="008865DC"/>
    <w:rsid w:val="008867AA"/>
    <w:rsid w:val="008871C1"/>
    <w:rsid w:val="008906F1"/>
    <w:rsid w:val="008910E0"/>
    <w:rsid w:val="00891239"/>
    <w:rsid w:val="00891866"/>
    <w:rsid w:val="008924C2"/>
    <w:rsid w:val="00894D82"/>
    <w:rsid w:val="0089573B"/>
    <w:rsid w:val="00896328"/>
    <w:rsid w:val="008A0457"/>
    <w:rsid w:val="008A0DC1"/>
    <w:rsid w:val="008A0DE4"/>
    <w:rsid w:val="008A110D"/>
    <w:rsid w:val="008A1CCD"/>
    <w:rsid w:val="008A2D09"/>
    <w:rsid w:val="008A4E1D"/>
    <w:rsid w:val="008A5355"/>
    <w:rsid w:val="008A644E"/>
    <w:rsid w:val="008A686F"/>
    <w:rsid w:val="008A7344"/>
    <w:rsid w:val="008B119A"/>
    <w:rsid w:val="008B16F6"/>
    <w:rsid w:val="008B402B"/>
    <w:rsid w:val="008B46BC"/>
    <w:rsid w:val="008B5FEA"/>
    <w:rsid w:val="008B7F61"/>
    <w:rsid w:val="008C02A0"/>
    <w:rsid w:val="008C0E48"/>
    <w:rsid w:val="008C1060"/>
    <w:rsid w:val="008C2831"/>
    <w:rsid w:val="008C321D"/>
    <w:rsid w:val="008C49C2"/>
    <w:rsid w:val="008C63D5"/>
    <w:rsid w:val="008C6C60"/>
    <w:rsid w:val="008C7ABD"/>
    <w:rsid w:val="008C7C8E"/>
    <w:rsid w:val="008D0073"/>
    <w:rsid w:val="008D0927"/>
    <w:rsid w:val="008D190C"/>
    <w:rsid w:val="008D2763"/>
    <w:rsid w:val="008D3909"/>
    <w:rsid w:val="008D3996"/>
    <w:rsid w:val="008D4105"/>
    <w:rsid w:val="008D46AA"/>
    <w:rsid w:val="008D46F3"/>
    <w:rsid w:val="008D4E68"/>
    <w:rsid w:val="008D4E71"/>
    <w:rsid w:val="008D553E"/>
    <w:rsid w:val="008D5A06"/>
    <w:rsid w:val="008D7B84"/>
    <w:rsid w:val="008E01F5"/>
    <w:rsid w:val="008E1B01"/>
    <w:rsid w:val="008E68E1"/>
    <w:rsid w:val="008E6DCC"/>
    <w:rsid w:val="008F02C4"/>
    <w:rsid w:val="008F0DAA"/>
    <w:rsid w:val="008F30D7"/>
    <w:rsid w:val="008F45F7"/>
    <w:rsid w:val="008F46AD"/>
    <w:rsid w:val="008F636F"/>
    <w:rsid w:val="008F6840"/>
    <w:rsid w:val="008F6CA5"/>
    <w:rsid w:val="008F7917"/>
    <w:rsid w:val="008F793D"/>
    <w:rsid w:val="008F79B0"/>
    <w:rsid w:val="0090044F"/>
    <w:rsid w:val="009005F4"/>
    <w:rsid w:val="00900FD0"/>
    <w:rsid w:val="009017C6"/>
    <w:rsid w:val="009036DB"/>
    <w:rsid w:val="00904237"/>
    <w:rsid w:val="009048A5"/>
    <w:rsid w:val="00904BE0"/>
    <w:rsid w:val="009069DD"/>
    <w:rsid w:val="00906BD4"/>
    <w:rsid w:val="00907098"/>
    <w:rsid w:val="009073A1"/>
    <w:rsid w:val="0091001E"/>
    <w:rsid w:val="00911B57"/>
    <w:rsid w:val="00912A07"/>
    <w:rsid w:val="00912E25"/>
    <w:rsid w:val="00913200"/>
    <w:rsid w:val="00913AE7"/>
    <w:rsid w:val="00913F1B"/>
    <w:rsid w:val="00914590"/>
    <w:rsid w:val="0091658E"/>
    <w:rsid w:val="00916D2B"/>
    <w:rsid w:val="00920007"/>
    <w:rsid w:val="00921BFB"/>
    <w:rsid w:val="00923B44"/>
    <w:rsid w:val="00923C3F"/>
    <w:rsid w:val="00923D20"/>
    <w:rsid w:val="00924050"/>
    <w:rsid w:val="00924C7C"/>
    <w:rsid w:val="00925A28"/>
    <w:rsid w:val="00925EBF"/>
    <w:rsid w:val="0093094A"/>
    <w:rsid w:val="009315ED"/>
    <w:rsid w:val="00931960"/>
    <w:rsid w:val="00931D5E"/>
    <w:rsid w:val="009322A4"/>
    <w:rsid w:val="00932914"/>
    <w:rsid w:val="00933360"/>
    <w:rsid w:val="00933974"/>
    <w:rsid w:val="00933DDA"/>
    <w:rsid w:val="00935AD5"/>
    <w:rsid w:val="0093667A"/>
    <w:rsid w:val="00936922"/>
    <w:rsid w:val="00936F2C"/>
    <w:rsid w:val="00937A8F"/>
    <w:rsid w:val="00937B60"/>
    <w:rsid w:val="00937E5F"/>
    <w:rsid w:val="00940091"/>
    <w:rsid w:val="00940FC5"/>
    <w:rsid w:val="0094129C"/>
    <w:rsid w:val="009416C2"/>
    <w:rsid w:val="00941A27"/>
    <w:rsid w:val="00944931"/>
    <w:rsid w:val="009453A3"/>
    <w:rsid w:val="009466DA"/>
    <w:rsid w:val="00950299"/>
    <w:rsid w:val="009502D3"/>
    <w:rsid w:val="0095037C"/>
    <w:rsid w:val="00951560"/>
    <w:rsid w:val="00951FA8"/>
    <w:rsid w:val="00952702"/>
    <w:rsid w:val="00954CE1"/>
    <w:rsid w:val="00954E1E"/>
    <w:rsid w:val="00957085"/>
    <w:rsid w:val="0096072A"/>
    <w:rsid w:val="009614C8"/>
    <w:rsid w:val="00963488"/>
    <w:rsid w:val="00963ED1"/>
    <w:rsid w:val="009647DB"/>
    <w:rsid w:val="009658D8"/>
    <w:rsid w:val="00965A64"/>
    <w:rsid w:val="0096632A"/>
    <w:rsid w:val="00966D19"/>
    <w:rsid w:val="00967246"/>
    <w:rsid w:val="00967407"/>
    <w:rsid w:val="00967D86"/>
    <w:rsid w:val="00970660"/>
    <w:rsid w:val="0097345D"/>
    <w:rsid w:val="00973E16"/>
    <w:rsid w:val="00974DF8"/>
    <w:rsid w:val="00976286"/>
    <w:rsid w:val="0097691D"/>
    <w:rsid w:val="00976DF5"/>
    <w:rsid w:val="009770AE"/>
    <w:rsid w:val="00980517"/>
    <w:rsid w:val="00980A95"/>
    <w:rsid w:val="009816E7"/>
    <w:rsid w:val="0098368F"/>
    <w:rsid w:val="009921B9"/>
    <w:rsid w:val="00992995"/>
    <w:rsid w:val="00993293"/>
    <w:rsid w:val="0099346A"/>
    <w:rsid w:val="009936FC"/>
    <w:rsid w:val="00994DA3"/>
    <w:rsid w:val="00994E35"/>
    <w:rsid w:val="00995128"/>
    <w:rsid w:val="00995C0F"/>
    <w:rsid w:val="0099663E"/>
    <w:rsid w:val="009971FD"/>
    <w:rsid w:val="009972F9"/>
    <w:rsid w:val="009A047F"/>
    <w:rsid w:val="009A0592"/>
    <w:rsid w:val="009A137C"/>
    <w:rsid w:val="009A2F75"/>
    <w:rsid w:val="009A3367"/>
    <w:rsid w:val="009A60D9"/>
    <w:rsid w:val="009A7FCD"/>
    <w:rsid w:val="009B0C8D"/>
    <w:rsid w:val="009B12AA"/>
    <w:rsid w:val="009B14E3"/>
    <w:rsid w:val="009B1863"/>
    <w:rsid w:val="009B1982"/>
    <w:rsid w:val="009B25C2"/>
    <w:rsid w:val="009B2683"/>
    <w:rsid w:val="009B2C24"/>
    <w:rsid w:val="009B2E1B"/>
    <w:rsid w:val="009B39D9"/>
    <w:rsid w:val="009B469C"/>
    <w:rsid w:val="009B4DFA"/>
    <w:rsid w:val="009B51C9"/>
    <w:rsid w:val="009B5F86"/>
    <w:rsid w:val="009B6738"/>
    <w:rsid w:val="009B7376"/>
    <w:rsid w:val="009B75D7"/>
    <w:rsid w:val="009B7A81"/>
    <w:rsid w:val="009B7BD3"/>
    <w:rsid w:val="009C0E3A"/>
    <w:rsid w:val="009C11D0"/>
    <w:rsid w:val="009C2932"/>
    <w:rsid w:val="009C4031"/>
    <w:rsid w:val="009C6638"/>
    <w:rsid w:val="009C7121"/>
    <w:rsid w:val="009D01B4"/>
    <w:rsid w:val="009D0406"/>
    <w:rsid w:val="009D1384"/>
    <w:rsid w:val="009D1C28"/>
    <w:rsid w:val="009D1F5F"/>
    <w:rsid w:val="009D358D"/>
    <w:rsid w:val="009D38E0"/>
    <w:rsid w:val="009D3E7B"/>
    <w:rsid w:val="009D4E72"/>
    <w:rsid w:val="009D5E66"/>
    <w:rsid w:val="009E053C"/>
    <w:rsid w:val="009E058F"/>
    <w:rsid w:val="009E3340"/>
    <w:rsid w:val="009E6D13"/>
    <w:rsid w:val="009E7C3A"/>
    <w:rsid w:val="009E7E9B"/>
    <w:rsid w:val="009F0BE0"/>
    <w:rsid w:val="009F0E0B"/>
    <w:rsid w:val="009F25A7"/>
    <w:rsid w:val="009F362E"/>
    <w:rsid w:val="009F38E8"/>
    <w:rsid w:val="009F39E2"/>
    <w:rsid w:val="009F4501"/>
    <w:rsid w:val="009F4571"/>
    <w:rsid w:val="009F4C70"/>
    <w:rsid w:val="009F66D0"/>
    <w:rsid w:val="009F76F8"/>
    <w:rsid w:val="009F7788"/>
    <w:rsid w:val="00A0055B"/>
    <w:rsid w:val="00A01395"/>
    <w:rsid w:val="00A01ADE"/>
    <w:rsid w:val="00A01CFE"/>
    <w:rsid w:val="00A04D1A"/>
    <w:rsid w:val="00A05364"/>
    <w:rsid w:val="00A07469"/>
    <w:rsid w:val="00A07FE0"/>
    <w:rsid w:val="00A109F8"/>
    <w:rsid w:val="00A10F79"/>
    <w:rsid w:val="00A11396"/>
    <w:rsid w:val="00A11613"/>
    <w:rsid w:val="00A1210A"/>
    <w:rsid w:val="00A12CC6"/>
    <w:rsid w:val="00A13A5E"/>
    <w:rsid w:val="00A14D27"/>
    <w:rsid w:val="00A14D6F"/>
    <w:rsid w:val="00A17301"/>
    <w:rsid w:val="00A2018D"/>
    <w:rsid w:val="00A21903"/>
    <w:rsid w:val="00A21AE6"/>
    <w:rsid w:val="00A21C49"/>
    <w:rsid w:val="00A21D21"/>
    <w:rsid w:val="00A21F36"/>
    <w:rsid w:val="00A2309B"/>
    <w:rsid w:val="00A232ED"/>
    <w:rsid w:val="00A23893"/>
    <w:rsid w:val="00A250BA"/>
    <w:rsid w:val="00A25C23"/>
    <w:rsid w:val="00A2654D"/>
    <w:rsid w:val="00A26567"/>
    <w:rsid w:val="00A2704C"/>
    <w:rsid w:val="00A300BC"/>
    <w:rsid w:val="00A3018A"/>
    <w:rsid w:val="00A30A71"/>
    <w:rsid w:val="00A30FE8"/>
    <w:rsid w:val="00A3237C"/>
    <w:rsid w:val="00A341EA"/>
    <w:rsid w:val="00A34878"/>
    <w:rsid w:val="00A3582F"/>
    <w:rsid w:val="00A36BE0"/>
    <w:rsid w:val="00A419CE"/>
    <w:rsid w:val="00A42161"/>
    <w:rsid w:val="00A43858"/>
    <w:rsid w:val="00A446CF"/>
    <w:rsid w:val="00A4492A"/>
    <w:rsid w:val="00A44BD4"/>
    <w:rsid w:val="00A45406"/>
    <w:rsid w:val="00A457ED"/>
    <w:rsid w:val="00A46848"/>
    <w:rsid w:val="00A46998"/>
    <w:rsid w:val="00A469AC"/>
    <w:rsid w:val="00A46E26"/>
    <w:rsid w:val="00A479DE"/>
    <w:rsid w:val="00A50780"/>
    <w:rsid w:val="00A535C6"/>
    <w:rsid w:val="00A54755"/>
    <w:rsid w:val="00A547BC"/>
    <w:rsid w:val="00A5485A"/>
    <w:rsid w:val="00A55833"/>
    <w:rsid w:val="00A55AC3"/>
    <w:rsid w:val="00A57207"/>
    <w:rsid w:val="00A57710"/>
    <w:rsid w:val="00A57E92"/>
    <w:rsid w:val="00A60F23"/>
    <w:rsid w:val="00A61AF8"/>
    <w:rsid w:val="00A62819"/>
    <w:rsid w:val="00A635F2"/>
    <w:rsid w:val="00A64286"/>
    <w:rsid w:val="00A644EB"/>
    <w:rsid w:val="00A64A0F"/>
    <w:rsid w:val="00A64A96"/>
    <w:rsid w:val="00A65182"/>
    <w:rsid w:val="00A6675D"/>
    <w:rsid w:val="00A66C81"/>
    <w:rsid w:val="00A67EF7"/>
    <w:rsid w:val="00A7139A"/>
    <w:rsid w:val="00A72C2A"/>
    <w:rsid w:val="00A73D88"/>
    <w:rsid w:val="00A77BD9"/>
    <w:rsid w:val="00A81312"/>
    <w:rsid w:val="00A82895"/>
    <w:rsid w:val="00A842A4"/>
    <w:rsid w:val="00A85D69"/>
    <w:rsid w:val="00A86659"/>
    <w:rsid w:val="00A91164"/>
    <w:rsid w:val="00A91686"/>
    <w:rsid w:val="00A91AC2"/>
    <w:rsid w:val="00A92834"/>
    <w:rsid w:val="00A93EAB"/>
    <w:rsid w:val="00A950E5"/>
    <w:rsid w:val="00A9648D"/>
    <w:rsid w:val="00A96C1E"/>
    <w:rsid w:val="00A96EC3"/>
    <w:rsid w:val="00A9737E"/>
    <w:rsid w:val="00AA04B6"/>
    <w:rsid w:val="00AA10E2"/>
    <w:rsid w:val="00AA151E"/>
    <w:rsid w:val="00AA159B"/>
    <w:rsid w:val="00AA1E9B"/>
    <w:rsid w:val="00AA2247"/>
    <w:rsid w:val="00AA41F9"/>
    <w:rsid w:val="00AA49AF"/>
    <w:rsid w:val="00AA4BFE"/>
    <w:rsid w:val="00AA6DFD"/>
    <w:rsid w:val="00AA7D33"/>
    <w:rsid w:val="00AB30F7"/>
    <w:rsid w:val="00AB41D9"/>
    <w:rsid w:val="00AB4563"/>
    <w:rsid w:val="00AB4D85"/>
    <w:rsid w:val="00AB5997"/>
    <w:rsid w:val="00AB5FC9"/>
    <w:rsid w:val="00AB617A"/>
    <w:rsid w:val="00AB622C"/>
    <w:rsid w:val="00AB702D"/>
    <w:rsid w:val="00AB706E"/>
    <w:rsid w:val="00AB7494"/>
    <w:rsid w:val="00AC11BD"/>
    <w:rsid w:val="00AC16ED"/>
    <w:rsid w:val="00AC19A6"/>
    <w:rsid w:val="00AC33D9"/>
    <w:rsid w:val="00AC528E"/>
    <w:rsid w:val="00AC67BB"/>
    <w:rsid w:val="00AD4687"/>
    <w:rsid w:val="00AD5040"/>
    <w:rsid w:val="00AD60A4"/>
    <w:rsid w:val="00AD6D73"/>
    <w:rsid w:val="00AE108C"/>
    <w:rsid w:val="00AE2348"/>
    <w:rsid w:val="00AE2B5A"/>
    <w:rsid w:val="00AE37CA"/>
    <w:rsid w:val="00AE4EE9"/>
    <w:rsid w:val="00AE6328"/>
    <w:rsid w:val="00AF17E3"/>
    <w:rsid w:val="00AF19F3"/>
    <w:rsid w:val="00AF1FAE"/>
    <w:rsid w:val="00AF2240"/>
    <w:rsid w:val="00AF3317"/>
    <w:rsid w:val="00AF3592"/>
    <w:rsid w:val="00AF3812"/>
    <w:rsid w:val="00AF532E"/>
    <w:rsid w:val="00AF5837"/>
    <w:rsid w:val="00AF634A"/>
    <w:rsid w:val="00AF6463"/>
    <w:rsid w:val="00AF738E"/>
    <w:rsid w:val="00B0298D"/>
    <w:rsid w:val="00B02F72"/>
    <w:rsid w:val="00B03516"/>
    <w:rsid w:val="00B041AB"/>
    <w:rsid w:val="00B079F3"/>
    <w:rsid w:val="00B07B59"/>
    <w:rsid w:val="00B10BE8"/>
    <w:rsid w:val="00B12BF0"/>
    <w:rsid w:val="00B1395B"/>
    <w:rsid w:val="00B139B8"/>
    <w:rsid w:val="00B14352"/>
    <w:rsid w:val="00B147CC"/>
    <w:rsid w:val="00B14CDF"/>
    <w:rsid w:val="00B14D64"/>
    <w:rsid w:val="00B151B6"/>
    <w:rsid w:val="00B1557D"/>
    <w:rsid w:val="00B16686"/>
    <w:rsid w:val="00B17344"/>
    <w:rsid w:val="00B2029D"/>
    <w:rsid w:val="00B20E1C"/>
    <w:rsid w:val="00B217D2"/>
    <w:rsid w:val="00B22BB4"/>
    <w:rsid w:val="00B22E30"/>
    <w:rsid w:val="00B2373E"/>
    <w:rsid w:val="00B24451"/>
    <w:rsid w:val="00B2525B"/>
    <w:rsid w:val="00B27B18"/>
    <w:rsid w:val="00B30C7C"/>
    <w:rsid w:val="00B3106B"/>
    <w:rsid w:val="00B315FA"/>
    <w:rsid w:val="00B32902"/>
    <w:rsid w:val="00B33E57"/>
    <w:rsid w:val="00B34941"/>
    <w:rsid w:val="00B3497F"/>
    <w:rsid w:val="00B34B62"/>
    <w:rsid w:val="00B356D0"/>
    <w:rsid w:val="00B367D1"/>
    <w:rsid w:val="00B37383"/>
    <w:rsid w:val="00B37FE7"/>
    <w:rsid w:val="00B43124"/>
    <w:rsid w:val="00B4324C"/>
    <w:rsid w:val="00B43BC9"/>
    <w:rsid w:val="00B43BF5"/>
    <w:rsid w:val="00B43FDF"/>
    <w:rsid w:val="00B45244"/>
    <w:rsid w:val="00B468DA"/>
    <w:rsid w:val="00B47D85"/>
    <w:rsid w:val="00B50733"/>
    <w:rsid w:val="00B52A5F"/>
    <w:rsid w:val="00B538DC"/>
    <w:rsid w:val="00B545EC"/>
    <w:rsid w:val="00B550FA"/>
    <w:rsid w:val="00B57C0C"/>
    <w:rsid w:val="00B6180A"/>
    <w:rsid w:val="00B61D4A"/>
    <w:rsid w:val="00B61D57"/>
    <w:rsid w:val="00B62A37"/>
    <w:rsid w:val="00B63053"/>
    <w:rsid w:val="00B6439C"/>
    <w:rsid w:val="00B643B4"/>
    <w:rsid w:val="00B6593E"/>
    <w:rsid w:val="00B664CA"/>
    <w:rsid w:val="00B67300"/>
    <w:rsid w:val="00B70E87"/>
    <w:rsid w:val="00B726D2"/>
    <w:rsid w:val="00B729E0"/>
    <w:rsid w:val="00B735C0"/>
    <w:rsid w:val="00B744E4"/>
    <w:rsid w:val="00B75026"/>
    <w:rsid w:val="00B76198"/>
    <w:rsid w:val="00B77BA3"/>
    <w:rsid w:val="00B80D45"/>
    <w:rsid w:val="00B8203C"/>
    <w:rsid w:val="00B85103"/>
    <w:rsid w:val="00B8545F"/>
    <w:rsid w:val="00B8795E"/>
    <w:rsid w:val="00B911E7"/>
    <w:rsid w:val="00B923EB"/>
    <w:rsid w:val="00B950A4"/>
    <w:rsid w:val="00B951A3"/>
    <w:rsid w:val="00B95910"/>
    <w:rsid w:val="00B95C38"/>
    <w:rsid w:val="00B95C74"/>
    <w:rsid w:val="00B96844"/>
    <w:rsid w:val="00B96A93"/>
    <w:rsid w:val="00B977D8"/>
    <w:rsid w:val="00BA00FE"/>
    <w:rsid w:val="00BA0B10"/>
    <w:rsid w:val="00BA1C34"/>
    <w:rsid w:val="00BA3BD1"/>
    <w:rsid w:val="00BA4BF3"/>
    <w:rsid w:val="00BA4DFE"/>
    <w:rsid w:val="00BA56BE"/>
    <w:rsid w:val="00BB06E0"/>
    <w:rsid w:val="00BB0A9F"/>
    <w:rsid w:val="00BB0EFE"/>
    <w:rsid w:val="00BB10C1"/>
    <w:rsid w:val="00BB1A7D"/>
    <w:rsid w:val="00BB1B05"/>
    <w:rsid w:val="00BB3A89"/>
    <w:rsid w:val="00BB4746"/>
    <w:rsid w:val="00BB56FA"/>
    <w:rsid w:val="00BB5B3E"/>
    <w:rsid w:val="00BC07C9"/>
    <w:rsid w:val="00BC0862"/>
    <w:rsid w:val="00BC096C"/>
    <w:rsid w:val="00BC13F5"/>
    <w:rsid w:val="00BC1756"/>
    <w:rsid w:val="00BC3FB8"/>
    <w:rsid w:val="00BC417E"/>
    <w:rsid w:val="00BC55D9"/>
    <w:rsid w:val="00BC585E"/>
    <w:rsid w:val="00BC68CE"/>
    <w:rsid w:val="00BC782A"/>
    <w:rsid w:val="00BD0321"/>
    <w:rsid w:val="00BD3D5E"/>
    <w:rsid w:val="00BD4F71"/>
    <w:rsid w:val="00BD62E3"/>
    <w:rsid w:val="00BD68A7"/>
    <w:rsid w:val="00BD7020"/>
    <w:rsid w:val="00BD7185"/>
    <w:rsid w:val="00BD71B6"/>
    <w:rsid w:val="00BD72BC"/>
    <w:rsid w:val="00BD77ED"/>
    <w:rsid w:val="00BD7E5A"/>
    <w:rsid w:val="00BE05BE"/>
    <w:rsid w:val="00BE15C1"/>
    <w:rsid w:val="00BE16E5"/>
    <w:rsid w:val="00BE216B"/>
    <w:rsid w:val="00BE2A53"/>
    <w:rsid w:val="00BE2C0B"/>
    <w:rsid w:val="00BE4548"/>
    <w:rsid w:val="00BE46C4"/>
    <w:rsid w:val="00BE470B"/>
    <w:rsid w:val="00BE4925"/>
    <w:rsid w:val="00BE4B38"/>
    <w:rsid w:val="00BE4CB6"/>
    <w:rsid w:val="00BE66EA"/>
    <w:rsid w:val="00BE70F2"/>
    <w:rsid w:val="00BF049F"/>
    <w:rsid w:val="00BF0AB9"/>
    <w:rsid w:val="00BF1B29"/>
    <w:rsid w:val="00BF2982"/>
    <w:rsid w:val="00BF2A50"/>
    <w:rsid w:val="00BF31F8"/>
    <w:rsid w:val="00BF36CC"/>
    <w:rsid w:val="00BF3BC8"/>
    <w:rsid w:val="00BF3CD3"/>
    <w:rsid w:val="00BF52D7"/>
    <w:rsid w:val="00BF58C4"/>
    <w:rsid w:val="00BF5FE6"/>
    <w:rsid w:val="00BF603D"/>
    <w:rsid w:val="00BF61F3"/>
    <w:rsid w:val="00BF7063"/>
    <w:rsid w:val="00BF7C41"/>
    <w:rsid w:val="00C0221E"/>
    <w:rsid w:val="00C025E1"/>
    <w:rsid w:val="00C02789"/>
    <w:rsid w:val="00C034C7"/>
    <w:rsid w:val="00C04997"/>
    <w:rsid w:val="00C06D66"/>
    <w:rsid w:val="00C06E51"/>
    <w:rsid w:val="00C156C5"/>
    <w:rsid w:val="00C159A3"/>
    <w:rsid w:val="00C1637C"/>
    <w:rsid w:val="00C16F11"/>
    <w:rsid w:val="00C17C8B"/>
    <w:rsid w:val="00C21875"/>
    <w:rsid w:val="00C223E8"/>
    <w:rsid w:val="00C22BAE"/>
    <w:rsid w:val="00C22FBA"/>
    <w:rsid w:val="00C237D1"/>
    <w:rsid w:val="00C24AAB"/>
    <w:rsid w:val="00C25944"/>
    <w:rsid w:val="00C26441"/>
    <w:rsid w:val="00C265D2"/>
    <w:rsid w:val="00C26D56"/>
    <w:rsid w:val="00C27032"/>
    <w:rsid w:val="00C318F2"/>
    <w:rsid w:val="00C327E3"/>
    <w:rsid w:val="00C353D3"/>
    <w:rsid w:val="00C36571"/>
    <w:rsid w:val="00C36BF1"/>
    <w:rsid w:val="00C37FF7"/>
    <w:rsid w:val="00C40171"/>
    <w:rsid w:val="00C41069"/>
    <w:rsid w:val="00C417AE"/>
    <w:rsid w:val="00C41BD7"/>
    <w:rsid w:val="00C4370A"/>
    <w:rsid w:val="00C44223"/>
    <w:rsid w:val="00C452E6"/>
    <w:rsid w:val="00C4612A"/>
    <w:rsid w:val="00C46137"/>
    <w:rsid w:val="00C47800"/>
    <w:rsid w:val="00C47E61"/>
    <w:rsid w:val="00C47F35"/>
    <w:rsid w:val="00C50467"/>
    <w:rsid w:val="00C50C66"/>
    <w:rsid w:val="00C51025"/>
    <w:rsid w:val="00C511F7"/>
    <w:rsid w:val="00C51946"/>
    <w:rsid w:val="00C53390"/>
    <w:rsid w:val="00C5453F"/>
    <w:rsid w:val="00C54C72"/>
    <w:rsid w:val="00C54EBD"/>
    <w:rsid w:val="00C576B6"/>
    <w:rsid w:val="00C60641"/>
    <w:rsid w:val="00C609D1"/>
    <w:rsid w:val="00C617CF"/>
    <w:rsid w:val="00C61A3A"/>
    <w:rsid w:val="00C63425"/>
    <w:rsid w:val="00C646E5"/>
    <w:rsid w:val="00C64ECB"/>
    <w:rsid w:val="00C64F35"/>
    <w:rsid w:val="00C66223"/>
    <w:rsid w:val="00C66AF2"/>
    <w:rsid w:val="00C6782D"/>
    <w:rsid w:val="00C70570"/>
    <w:rsid w:val="00C70CE1"/>
    <w:rsid w:val="00C7139C"/>
    <w:rsid w:val="00C71A4F"/>
    <w:rsid w:val="00C71CA4"/>
    <w:rsid w:val="00C726C2"/>
    <w:rsid w:val="00C72C00"/>
    <w:rsid w:val="00C741B7"/>
    <w:rsid w:val="00C75F07"/>
    <w:rsid w:val="00C76022"/>
    <w:rsid w:val="00C76033"/>
    <w:rsid w:val="00C7759C"/>
    <w:rsid w:val="00C77CF5"/>
    <w:rsid w:val="00C8153D"/>
    <w:rsid w:val="00C81B90"/>
    <w:rsid w:val="00C81E28"/>
    <w:rsid w:val="00C81FAA"/>
    <w:rsid w:val="00C82284"/>
    <w:rsid w:val="00C82849"/>
    <w:rsid w:val="00C83269"/>
    <w:rsid w:val="00C8462E"/>
    <w:rsid w:val="00C849F5"/>
    <w:rsid w:val="00C84EDF"/>
    <w:rsid w:val="00C8668D"/>
    <w:rsid w:val="00C872F1"/>
    <w:rsid w:val="00C877F0"/>
    <w:rsid w:val="00C91F13"/>
    <w:rsid w:val="00C92B3B"/>
    <w:rsid w:val="00C9337D"/>
    <w:rsid w:val="00C942E4"/>
    <w:rsid w:val="00C9668B"/>
    <w:rsid w:val="00C96DA3"/>
    <w:rsid w:val="00C96F23"/>
    <w:rsid w:val="00CA0796"/>
    <w:rsid w:val="00CA0BB2"/>
    <w:rsid w:val="00CA0C11"/>
    <w:rsid w:val="00CA28B4"/>
    <w:rsid w:val="00CA2B49"/>
    <w:rsid w:val="00CA362C"/>
    <w:rsid w:val="00CA4179"/>
    <w:rsid w:val="00CA6506"/>
    <w:rsid w:val="00CB09A2"/>
    <w:rsid w:val="00CB1042"/>
    <w:rsid w:val="00CB3547"/>
    <w:rsid w:val="00CB45CE"/>
    <w:rsid w:val="00CB59D8"/>
    <w:rsid w:val="00CB5B9C"/>
    <w:rsid w:val="00CB5D7D"/>
    <w:rsid w:val="00CB7199"/>
    <w:rsid w:val="00CB7231"/>
    <w:rsid w:val="00CC05BA"/>
    <w:rsid w:val="00CC07A5"/>
    <w:rsid w:val="00CC1922"/>
    <w:rsid w:val="00CC29B2"/>
    <w:rsid w:val="00CC29DE"/>
    <w:rsid w:val="00CC2AD3"/>
    <w:rsid w:val="00CC2B4E"/>
    <w:rsid w:val="00CC2C31"/>
    <w:rsid w:val="00CC58BF"/>
    <w:rsid w:val="00CC5A5F"/>
    <w:rsid w:val="00CC65AA"/>
    <w:rsid w:val="00CC72C1"/>
    <w:rsid w:val="00CC7AA6"/>
    <w:rsid w:val="00CD0E6E"/>
    <w:rsid w:val="00CD5576"/>
    <w:rsid w:val="00CD5F97"/>
    <w:rsid w:val="00CE0EDE"/>
    <w:rsid w:val="00CE1DE7"/>
    <w:rsid w:val="00CE1F22"/>
    <w:rsid w:val="00CE2A0C"/>
    <w:rsid w:val="00CE3AB9"/>
    <w:rsid w:val="00CE3D2A"/>
    <w:rsid w:val="00CE57B4"/>
    <w:rsid w:val="00CE6383"/>
    <w:rsid w:val="00CE6C13"/>
    <w:rsid w:val="00CE6D36"/>
    <w:rsid w:val="00CE729F"/>
    <w:rsid w:val="00CE73DA"/>
    <w:rsid w:val="00CF0950"/>
    <w:rsid w:val="00CF111A"/>
    <w:rsid w:val="00CF1C77"/>
    <w:rsid w:val="00CF274D"/>
    <w:rsid w:val="00CF2E1F"/>
    <w:rsid w:val="00CF5F8D"/>
    <w:rsid w:val="00CF667C"/>
    <w:rsid w:val="00CF6975"/>
    <w:rsid w:val="00CF6EA0"/>
    <w:rsid w:val="00CF6EF3"/>
    <w:rsid w:val="00CF7899"/>
    <w:rsid w:val="00CF7E9E"/>
    <w:rsid w:val="00D0054C"/>
    <w:rsid w:val="00D0176B"/>
    <w:rsid w:val="00D03384"/>
    <w:rsid w:val="00D05435"/>
    <w:rsid w:val="00D06678"/>
    <w:rsid w:val="00D07FCD"/>
    <w:rsid w:val="00D10D13"/>
    <w:rsid w:val="00D10E23"/>
    <w:rsid w:val="00D10F25"/>
    <w:rsid w:val="00D11336"/>
    <w:rsid w:val="00D11584"/>
    <w:rsid w:val="00D145AE"/>
    <w:rsid w:val="00D14E59"/>
    <w:rsid w:val="00D158F2"/>
    <w:rsid w:val="00D16E4C"/>
    <w:rsid w:val="00D175FB"/>
    <w:rsid w:val="00D17DB3"/>
    <w:rsid w:val="00D20075"/>
    <w:rsid w:val="00D20409"/>
    <w:rsid w:val="00D20954"/>
    <w:rsid w:val="00D21A64"/>
    <w:rsid w:val="00D21CEB"/>
    <w:rsid w:val="00D22C1A"/>
    <w:rsid w:val="00D239E2"/>
    <w:rsid w:val="00D23DF9"/>
    <w:rsid w:val="00D25F8D"/>
    <w:rsid w:val="00D269B2"/>
    <w:rsid w:val="00D271B4"/>
    <w:rsid w:val="00D27390"/>
    <w:rsid w:val="00D301D1"/>
    <w:rsid w:val="00D31D20"/>
    <w:rsid w:val="00D365CD"/>
    <w:rsid w:val="00D370ED"/>
    <w:rsid w:val="00D37BF8"/>
    <w:rsid w:val="00D401F7"/>
    <w:rsid w:val="00D40525"/>
    <w:rsid w:val="00D42363"/>
    <w:rsid w:val="00D45443"/>
    <w:rsid w:val="00D46001"/>
    <w:rsid w:val="00D46296"/>
    <w:rsid w:val="00D462CC"/>
    <w:rsid w:val="00D46603"/>
    <w:rsid w:val="00D46A5C"/>
    <w:rsid w:val="00D46B65"/>
    <w:rsid w:val="00D46ECC"/>
    <w:rsid w:val="00D47753"/>
    <w:rsid w:val="00D50415"/>
    <w:rsid w:val="00D529BB"/>
    <w:rsid w:val="00D53F3D"/>
    <w:rsid w:val="00D5460A"/>
    <w:rsid w:val="00D557A9"/>
    <w:rsid w:val="00D55A10"/>
    <w:rsid w:val="00D561AC"/>
    <w:rsid w:val="00D56713"/>
    <w:rsid w:val="00D56C99"/>
    <w:rsid w:val="00D56D98"/>
    <w:rsid w:val="00D57D3B"/>
    <w:rsid w:val="00D62B4F"/>
    <w:rsid w:val="00D6468E"/>
    <w:rsid w:val="00D6584D"/>
    <w:rsid w:val="00D65C15"/>
    <w:rsid w:val="00D67B36"/>
    <w:rsid w:val="00D67CAE"/>
    <w:rsid w:val="00D700E1"/>
    <w:rsid w:val="00D7083B"/>
    <w:rsid w:val="00D70CB6"/>
    <w:rsid w:val="00D7175C"/>
    <w:rsid w:val="00D71CAC"/>
    <w:rsid w:val="00D7450C"/>
    <w:rsid w:val="00D75041"/>
    <w:rsid w:val="00D76D5B"/>
    <w:rsid w:val="00D77ACF"/>
    <w:rsid w:val="00D80A4E"/>
    <w:rsid w:val="00D81EC4"/>
    <w:rsid w:val="00D82DB4"/>
    <w:rsid w:val="00D83B88"/>
    <w:rsid w:val="00D83E7B"/>
    <w:rsid w:val="00D8493B"/>
    <w:rsid w:val="00D8493C"/>
    <w:rsid w:val="00D857BE"/>
    <w:rsid w:val="00D86C77"/>
    <w:rsid w:val="00D87903"/>
    <w:rsid w:val="00D87A9D"/>
    <w:rsid w:val="00D87F10"/>
    <w:rsid w:val="00D90E6B"/>
    <w:rsid w:val="00D91093"/>
    <w:rsid w:val="00D91C81"/>
    <w:rsid w:val="00D92616"/>
    <w:rsid w:val="00D93400"/>
    <w:rsid w:val="00D954BC"/>
    <w:rsid w:val="00D96556"/>
    <w:rsid w:val="00D96966"/>
    <w:rsid w:val="00D97C2B"/>
    <w:rsid w:val="00DA0ED1"/>
    <w:rsid w:val="00DA10D4"/>
    <w:rsid w:val="00DA3675"/>
    <w:rsid w:val="00DA49AB"/>
    <w:rsid w:val="00DA4BA5"/>
    <w:rsid w:val="00DA6A0F"/>
    <w:rsid w:val="00DA7131"/>
    <w:rsid w:val="00DA7CCA"/>
    <w:rsid w:val="00DA7FAC"/>
    <w:rsid w:val="00DB0247"/>
    <w:rsid w:val="00DB109E"/>
    <w:rsid w:val="00DB160D"/>
    <w:rsid w:val="00DB2807"/>
    <w:rsid w:val="00DB2EB3"/>
    <w:rsid w:val="00DB39E8"/>
    <w:rsid w:val="00DB5ACA"/>
    <w:rsid w:val="00DB74BC"/>
    <w:rsid w:val="00DB7B7E"/>
    <w:rsid w:val="00DC008C"/>
    <w:rsid w:val="00DC0918"/>
    <w:rsid w:val="00DC1483"/>
    <w:rsid w:val="00DC25B7"/>
    <w:rsid w:val="00DC29BA"/>
    <w:rsid w:val="00DC2C94"/>
    <w:rsid w:val="00DC2CD5"/>
    <w:rsid w:val="00DC32D8"/>
    <w:rsid w:val="00DC5279"/>
    <w:rsid w:val="00DC5A73"/>
    <w:rsid w:val="00DC5C6C"/>
    <w:rsid w:val="00DC653E"/>
    <w:rsid w:val="00DC6D52"/>
    <w:rsid w:val="00DD0FCD"/>
    <w:rsid w:val="00DD29E9"/>
    <w:rsid w:val="00DD3499"/>
    <w:rsid w:val="00DD4DC9"/>
    <w:rsid w:val="00DD4F4D"/>
    <w:rsid w:val="00DD7104"/>
    <w:rsid w:val="00DE1D2F"/>
    <w:rsid w:val="00DE1EE7"/>
    <w:rsid w:val="00DE1F0C"/>
    <w:rsid w:val="00DE1FE4"/>
    <w:rsid w:val="00DE2739"/>
    <w:rsid w:val="00DE2B7E"/>
    <w:rsid w:val="00DE3193"/>
    <w:rsid w:val="00DE3842"/>
    <w:rsid w:val="00DE4FD3"/>
    <w:rsid w:val="00DE5F36"/>
    <w:rsid w:val="00DE60B0"/>
    <w:rsid w:val="00DE67B9"/>
    <w:rsid w:val="00DE6CC9"/>
    <w:rsid w:val="00DF1C8E"/>
    <w:rsid w:val="00DF427C"/>
    <w:rsid w:val="00DF4CA8"/>
    <w:rsid w:val="00DF7A04"/>
    <w:rsid w:val="00E0170E"/>
    <w:rsid w:val="00E018CF"/>
    <w:rsid w:val="00E01A9B"/>
    <w:rsid w:val="00E0230B"/>
    <w:rsid w:val="00E02532"/>
    <w:rsid w:val="00E02B70"/>
    <w:rsid w:val="00E033A9"/>
    <w:rsid w:val="00E03D9F"/>
    <w:rsid w:val="00E03FF2"/>
    <w:rsid w:val="00E04566"/>
    <w:rsid w:val="00E057DC"/>
    <w:rsid w:val="00E05827"/>
    <w:rsid w:val="00E06020"/>
    <w:rsid w:val="00E0646C"/>
    <w:rsid w:val="00E06BFC"/>
    <w:rsid w:val="00E07690"/>
    <w:rsid w:val="00E10036"/>
    <w:rsid w:val="00E11994"/>
    <w:rsid w:val="00E145B1"/>
    <w:rsid w:val="00E1494A"/>
    <w:rsid w:val="00E1503B"/>
    <w:rsid w:val="00E15DAB"/>
    <w:rsid w:val="00E1644E"/>
    <w:rsid w:val="00E2083E"/>
    <w:rsid w:val="00E21516"/>
    <w:rsid w:val="00E216BD"/>
    <w:rsid w:val="00E21CA4"/>
    <w:rsid w:val="00E233B0"/>
    <w:rsid w:val="00E23AF9"/>
    <w:rsid w:val="00E2647C"/>
    <w:rsid w:val="00E266E8"/>
    <w:rsid w:val="00E26779"/>
    <w:rsid w:val="00E30103"/>
    <w:rsid w:val="00E3173B"/>
    <w:rsid w:val="00E3360B"/>
    <w:rsid w:val="00E3375C"/>
    <w:rsid w:val="00E3378C"/>
    <w:rsid w:val="00E342C8"/>
    <w:rsid w:val="00E34375"/>
    <w:rsid w:val="00E34E74"/>
    <w:rsid w:val="00E356B2"/>
    <w:rsid w:val="00E35D21"/>
    <w:rsid w:val="00E365D7"/>
    <w:rsid w:val="00E36D03"/>
    <w:rsid w:val="00E36D40"/>
    <w:rsid w:val="00E40C53"/>
    <w:rsid w:val="00E4167B"/>
    <w:rsid w:val="00E41AA1"/>
    <w:rsid w:val="00E420DC"/>
    <w:rsid w:val="00E436B7"/>
    <w:rsid w:val="00E45844"/>
    <w:rsid w:val="00E5082F"/>
    <w:rsid w:val="00E5261E"/>
    <w:rsid w:val="00E534BE"/>
    <w:rsid w:val="00E53E36"/>
    <w:rsid w:val="00E5455E"/>
    <w:rsid w:val="00E54F43"/>
    <w:rsid w:val="00E5542C"/>
    <w:rsid w:val="00E61ADF"/>
    <w:rsid w:val="00E61B65"/>
    <w:rsid w:val="00E61D80"/>
    <w:rsid w:val="00E62025"/>
    <w:rsid w:val="00E62A65"/>
    <w:rsid w:val="00E62D5F"/>
    <w:rsid w:val="00E667E5"/>
    <w:rsid w:val="00E669D6"/>
    <w:rsid w:val="00E673E3"/>
    <w:rsid w:val="00E707C8"/>
    <w:rsid w:val="00E70F4D"/>
    <w:rsid w:val="00E713BF"/>
    <w:rsid w:val="00E7178F"/>
    <w:rsid w:val="00E719EE"/>
    <w:rsid w:val="00E71F08"/>
    <w:rsid w:val="00E72C48"/>
    <w:rsid w:val="00E74693"/>
    <w:rsid w:val="00E74D51"/>
    <w:rsid w:val="00E750D8"/>
    <w:rsid w:val="00E75423"/>
    <w:rsid w:val="00E75B8C"/>
    <w:rsid w:val="00E761AA"/>
    <w:rsid w:val="00E768C3"/>
    <w:rsid w:val="00E77F2D"/>
    <w:rsid w:val="00E81061"/>
    <w:rsid w:val="00E81CEC"/>
    <w:rsid w:val="00E81F16"/>
    <w:rsid w:val="00E8361D"/>
    <w:rsid w:val="00E840BF"/>
    <w:rsid w:val="00E847AC"/>
    <w:rsid w:val="00E84B06"/>
    <w:rsid w:val="00E85561"/>
    <w:rsid w:val="00E87B48"/>
    <w:rsid w:val="00E91163"/>
    <w:rsid w:val="00E9187E"/>
    <w:rsid w:val="00E92472"/>
    <w:rsid w:val="00E9285B"/>
    <w:rsid w:val="00E92D62"/>
    <w:rsid w:val="00E92DB9"/>
    <w:rsid w:val="00E9553D"/>
    <w:rsid w:val="00E95609"/>
    <w:rsid w:val="00E9586C"/>
    <w:rsid w:val="00E97F98"/>
    <w:rsid w:val="00EA0891"/>
    <w:rsid w:val="00EA182B"/>
    <w:rsid w:val="00EA7805"/>
    <w:rsid w:val="00EA7DDF"/>
    <w:rsid w:val="00EB07F6"/>
    <w:rsid w:val="00EB1419"/>
    <w:rsid w:val="00EB1A4A"/>
    <w:rsid w:val="00EB2514"/>
    <w:rsid w:val="00EB2B6C"/>
    <w:rsid w:val="00EB2EEC"/>
    <w:rsid w:val="00EB2FFE"/>
    <w:rsid w:val="00EB4073"/>
    <w:rsid w:val="00EB4188"/>
    <w:rsid w:val="00EB4317"/>
    <w:rsid w:val="00EB4831"/>
    <w:rsid w:val="00EB51CA"/>
    <w:rsid w:val="00EB51F0"/>
    <w:rsid w:val="00EB51FF"/>
    <w:rsid w:val="00EB5621"/>
    <w:rsid w:val="00EB7908"/>
    <w:rsid w:val="00EB7F3D"/>
    <w:rsid w:val="00EB7F5A"/>
    <w:rsid w:val="00EC0265"/>
    <w:rsid w:val="00EC032E"/>
    <w:rsid w:val="00EC084E"/>
    <w:rsid w:val="00EC2078"/>
    <w:rsid w:val="00EC2814"/>
    <w:rsid w:val="00EC3AD9"/>
    <w:rsid w:val="00EC4155"/>
    <w:rsid w:val="00EC43B2"/>
    <w:rsid w:val="00EC4DFF"/>
    <w:rsid w:val="00EC5D5A"/>
    <w:rsid w:val="00EC632D"/>
    <w:rsid w:val="00EC6C26"/>
    <w:rsid w:val="00EC70D4"/>
    <w:rsid w:val="00ED0374"/>
    <w:rsid w:val="00ED0FFD"/>
    <w:rsid w:val="00ED1D42"/>
    <w:rsid w:val="00ED3080"/>
    <w:rsid w:val="00ED3CD0"/>
    <w:rsid w:val="00ED4B5B"/>
    <w:rsid w:val="00ED4DD7"/>
    <w:rsid w:val="00ED6477"/>
    <w:rsid w:val="00ED7D9B"/>
    <w:rsid w:val="00EE04F4"/>
    <w:rsid w:val="00EE0F35"/>
    <w:rsid w:val="00EE0F89"/>
    <w:rsid w:val="00EE1048"/>
    <w:rsid w:val="00EE21AA"/>
    <w:rsid w:val="00EE2FF8"/>
    <w:rsid w:val="00EE3AD3"/>
    <w:rsid w:val="00EE42C8"/>
    <w:rsid w:val="00EE60DA"/>
    <w:rsid w:val="00EE6FFC"/>
    <w:rsid w:val="00EE79D6"/>
    <w:rsid w:val="00EE7A8A"/>
    <w:rsid w:val="00EF0214"/>
    <w:rsid w:val="00EF069B"/>
    <w:rsid w:val="00EF11E4"/>
    <w:rsid w:val="00EF33B2"/>
    <w:rsid w:val="00EF53F2"/>
    <w:rsid w:val="00EF6072"/>
    <w:rsid w:val="00EF6A39"/>
    <w:rsid w:val="00EF6C79"/>
    <w:rsid w:val="00EF6EB8"/>
    <w:rsid w:val="00F00C91"/>
    <w:rsid w:val="00F01FEE"/>
    <w:rsid w:val="00F03242"/>
    <w:rsid w:val="00F048F8"/>
    <w:rsid w:val="00F05D8C"/>
    <w:rsid w:val="00F060D8"/>
    <w:rsid w:val="00F076B6"/>
    <w:rsid w:val="00F10EDD"/>
    <w:rsid w:val="00F11224"/>
    <w:rsid w:val="00F11292"/>
    <w:rsid w:val="00F13131"/>
    <w:rsid w:val="00F135D8"/>
    <w:rsid w:val="00F14478"/>
    <w:rsid w:val="00F153A4"/>
    <w:rsid w:val="00F15494"/>
    <w:rsid w:val="00F164FE"/>
    <w:rsid w:val="00F174C3"/>
    <w:rsid w:val="00F175F1"/>
    <w:rsid w:val="00F17DD6"/>
    <w:rsid w:val="00F17E0E"/>
    <w:rsid w:val="00F210D0"/>
    <w:rsid w:val="00F2214E"/>
    <w:rsid w:val="00F228F2"/>
    <w:rsid w:val="00F24A4B"/>
    <w:rsid w:val="00F26250"/>
    <w:rsid w:val="00F301EE"/>
    <w:rsid w:val="00F3059D"/>
    <w:rsid w:val="00F30838"/>
    <w:rsid w:val="00F3204D"/>
    <w:rsid w:val="00F3377A"/>
    <w:rsid w:val="00F33848"/>
    <w:rsid w:val="00F33EEE"/>
    <w:rsid w:val="00F354E9"/>
    <w:rsid w:val="00F35B0D"/>
    <w:rsid w:val="00F362B7"/>
    <w:rsid w:val="00F365B4"/>
    <w:rsid w:val="00F36D93"/>
    <w:rsid w:val="00F37164"/>
    <w:rsid w:val="00F371BF"/>
    <w:rsid w:val="00F37FFC"/>
    <w:rsid w:val="00F410C5"/>
    <w:rsid w:val="00F42420"/>
    <w:rsid w:val="00F452BA"/>
    <w:rsid w:val="00F45333"/>
    <w:rsid w:val="00F46210"/>
    <w:rsid w:val="00F46944"/>
    <w:rsid w:val="00F46D95"/>
    <w:rsid w:val="00F47443"/>
    <w:rsid w:val="00F47CDF"/>
    <w:rsid w:val="00F503F8"/>
    <w:rsid w:val="00F51146"/>
    <w:rsid w:val="00F51E63"/>
    <w:rsid w:val="00F52DAD"/>
    <w:rsid w:val="00F53227"/>
    <w:rsid w:val="00F536FD"/>
    <w:rsid w:val="00F53E97"/>
    <w:rsid w:val="00F5405E"/>
    <w:rsid w:val="00F54478"/>
    <w:rsid w:val="00F55269"/>
    <w:rsid w:val="00F56422"/>
    <w:rsid w:val="00F57BE4"/>
    <w:rsid w:val="00F60681"/>
    <w:rsid w:val="00F61909"/>
    <w:rsid w:val="00F62CDC"/>
    <w:rsid w:val="00F63086"/>
    <w:rsid w:val="00F63361"/>
    <w:rsid w:val="00F63F3D"/>
    <w:rsid w:val="00F663F3"/>
    <w:rsid w:val="00F67073"/>
    <w:rsid w:val="00F67A72"/>
    <w:rsid w:val="00F70017"/>
    <w:rsid w:val="00F70EAC"/>
    <w:rsid w:val="00F71215"/>
    <w:rsid w:val="00F71EB9"/>
    <w:rsid w:val="00F71EEC"/>
    <w:rsid w:val="00F727E4"/>
    <w:rsid w:val="00F72E0F"/>
    <w:rsid w:val="00F7393B"/>
    <w:rsid w:val="00F739B4"/>
    <w:rsid w:val="00F745B7"/>
    <w:rsid w:val="00F749A5"/>
    <w:rsid w:val="00F7517E"/>
    <w:rsid w:val="00F75F85"/>
    <w:rsid w:val="00F804E8"/>
    <w:rsid w:val="00F81781"/>
    <w:rsid w:val="00F81BBF"/>
    <w:rsid w:val="00F81DF6"/>
    <w:rsid w:val="00F824D8"/>
    <w:rsid w:val="00F83295"/>
    <w:rsid w:val="00F83C64"/>
    <w:rsid w:val="00F83CC8"/>
    <w:rsid w:val="00F85F73"/>
    <w:rsid w:val="00F91036"/>
    <w:rsid w:val="00F916F4"/>
    <w:rsid w:val="00F91AB4"/>
    <w:rsid w:val="00F92464"/>
    <w:rsid w:val="00F9288F"/>
    <w:rsid w:val="00F93788"/>
    <w:rsid w:val="00F94E66"/>
    <w:rsid w:val="00F951F7"/>
    <w:rsid w:val="00F965ED"/>
    <w:rsid w:val="00F96804"/>
    <w:rsid w:val="00F968ED"/>
    <w:rsid w:val="00F97312"/>
    <w:rsid w:val="00F97F83"/>
    <w:rsid w:val="00FA0A18"/>
    <w:rsid w:val="00FA1B42"/>
    <w:rsid w:val="00FA2C69"/>
    <w:rsid w:val="00FA4000"/>
    <w:rsid w:val="00FA4035"/>
    <w:rsid w:val="00FA428D"/>
    <w:rsid w:val="00FA71C8"/>
    <w:rsid w:val="00FA744F"/>
    <w:rsid w:val="00FA79DF"/>
    <w:rsid w:val="00FA7A8D"/>
    <w:rsid w:val="00FA7E6F"/>
    <w:rsid w:val="00FB09CD"/>
    <w:rsid w:val="00FB2049"/>
    <w:rsid w:val="00FB253A"/>
    <w:rsid w:val="00FB407F"/>
    <w:rsid w:val="00FB4106"/>
    <w:rsid w:val="00FB4334"/>
    <w:rsid w:val="00FB4801"/>
    <w:rsid w:val="00FB4DFE"/>
    <w:rsid w:val="00FB59BE"/>
    <w:rsid w:val="00FB6037"/>
    <w:rsid w:val="00FB6067"/>
    <w:rsid w:val="00FB7120"/>
    <w:rsid w:val="00FC1174"/>
    <w:rsid w:val="00FC292E"/>
    <w:rsid w:val="00FC457E"/>
    <w:rsid w:val="00FC467D"/>
    <w:rsid w:val="00FC47AC"/>
    <w:rsid w:val="00FC5496"/>
    <w:rsid w:val="00FC7709"/>
    <w:rsid w:val="00FC78BA"/>
    <w:rsid w:val="00FC7B05"/>
    <w:rsid w:val="00FD043F"/>
    <w:rsid w:val="00FD1004"/>
    <w:rsid w:val="00FD1FCA"/>
    <w:rsid w:val="00FD2147"/>
    <w:rsid w:val="00FD217B"/>
    <w:rsid w:val="00FD240E"/>
    <w:rsid w:val="00FD2783"/>
    <w:rsid w:val="00FD4481"/>
    <w:rsid w:val="00FD44D8"/>
    <w:rsid w:val="00FD47E1"/>
    <w:rsid w:val="00FD7375"/>
    <w:rsid w:val="00FE025D"/>
    <w:rsid w:val="00FE1395"/>
    <w:rsid w:val="00FE1668"/>
    <w:rsid w:val="00FE200A"/>
    <w:rsid w:val="00FE297F"/>
    <w:rsid w:val="00FE4032"/>
    <w:rsid w:val="00FE418C"/>
    <w:rsid w:val="00FE4674"/>
    <w:rsid w:val="00FE587C"/>
    <w:rsid w:val="00FE61B4"/>
    <w:rsid w:val="00FE6593"/>
    <w:rsid w:val="00FE677F"/>
    <w:rsid w:val="00FE6AED"/>
    <w:rsid w:val="00FE71CC"/>
    <w:rsid w:val="00FF089D"/>
    <w:rsid w:val="00FF38D9"/>
    <w:rsid w:val="00FF3B6F"/>
    <w:rsid w:val="00FF4AF0"/>
    <w:rsid w:val="00FF5FCC"/>
    <w:rsid w:val="00FF735C"/>
    <w:rsid w:val="00FF7540"/>
    <w:rsid w:val="00FF7C26"/>
    <w:rsid w:val="403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12E62"/>
  <w15:docId w15:val="{FEDE6041-DBC4-4FE6-BB32-A3DDB524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6A"/>
    <w:pPr>
      <w:spacing w:after="0" w:line="360" w:lineRule="auto"/>
      <w:jc w:val="both"/>
    </w:pPr>
    <w:rPr>
      <w:rFonts w:ascii="Times New Roman"/>
      <w:sz w:val="24"/>
    </w:rPr>
  </w:style>
  <w:style w:type="paragraph" w:styleId="berschrift1">
    <w:name w:val="heading 1"/>
    <w:aliases w:val="Überschrift 1 (A"/>
    <w:basedOn w:val="Standard"/>
    <w:next w:val="Standard"/>
    <w:link w:val="berschrift1Zchn"/>
    <w:uiPriority w:val="9"/>
    <w:qFormat/>
    <w:rsid w:val="00F076B6"/>
    <w:pPr>
      <w:keepNext/>
      <w:keepLines/>
      <w:spacing w:before="240" w:after="120" w:line="276" w:lineRule="auto"/>
      <w:ind w:left="357" w:hanging="357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paragraph" w:styleId="berschrift2">
    <w:name w:val="heading 2"/>
    <w:aliases w:val="Überschrift 2 (A,B,C)"/>
    <w:basedOn w:val="Standard"/>
    <w:next w:val="Standard"/>
    <w:link w:val="berschrift2Zchn"/>
    <w:uiPriority w:val="9"/>
    <w:unhideWhenUsed/>
    <w:qFormat/>
    <w:rsid w:val="00F076B6"/>
    <w:pPr>
      <w:keepNext/>
      <w:keepLines/>
      <w:spacing w:before="120" w:after="120" w:line="276" w:lineRule="auto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Überschrift 3 (I,II,III)"/>
    <w:basedOn w:val="Standard"/>
    <w:next w:val="Standard"/>
    <w:link w:val="berschrift3Zchn"/>
    <w:uiPriority w:val="9"/>
    <w:unhideWhenUsed/>
    <w:qFormat/>
    <w:rsid w:val="00F076B6"/>
    <w:pPr>
      <w:keepNext/>
      <w:keepLines/>
      <w:spacing w:before="240" w:after="120" w:line="276" w:lineRule="auto"/>
      <w:ind w:left="357"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aliases w:val="Überschrift 4 (1,2,3)"/>
    <w:basedOn w:val="Standard"/>
    <w:next w:val="Standard"/>
    <w:link w:val="berschrift4Zchn"/>
    <w:uiPriority w:val="9"/>
    <w:unhideWhenUsed/>
    <w:qFormat/>
    <w:rsid w:val="00F076B6"/>
    <w:pPr>
      <w:keepNext/>
      <w:keepLines/>
      <w:spacing w:before="160" w:after="80"/>
      <w:ind w:left="357" w:hanging="357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aliases w:val="Überschrift 5 (a,b,c)"/>
    <w:basedOn w:val="Standard"/>
    <w:next w:val="Standard"/>
    <w:link w:val="berschrift5Zchn"/>
    <w:uiPriority w:val="9"/>
    <w:unhideWhenUsed/>
    <w:qFormat/>
    <w:rsid w:val="00F076B6"/>
    <w:pPr>
      <w:keepNext/>
      <w:keepLines/>
      <w:spacing w:before="120" w:after="40" w:line="312" w:lineRule="auto"/>
      <w:ind w:left="357" w:hanging="357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aliases w:val="Überschrift 6 (aa,bb,cc)"/>
    <w:basedOn w:val="Standard"/>
    <w:next w:val="Standard"/>
    <w:link w:val="berschrift6Zchn"/>
    <w:uiPriority w:val="9"/>
    <w:unhideWhenUsed/>
    <w:qFormat/>
    <w:rsid w:val="00F076B6"/>
    <w:pPr>
      <w:keepNext/>
      <w:keepLines/>
      <w:spacing w:before="120" w:after="40" w:line="312" w:lineRule="auto"/>
      <w:ind w:left="357" w:hanging="357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aliases w:val="Überschrift 7 (i,ii,iii)"/>
    <w:basedOn w:val="Standard"/>
    <w:next w:val="Standard"/>
    <w:link w:val="berschrift7Zchn"/>
    <w:uiPriority w:val="9"/>
    <w:unhideWhenUsed/>
    <w:qFormat/>
    <w:pPr>
      <w:keepNext/>
      <w:keepLines/>
      <w:spacing w:before="60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(A Zchn"/>
    <w:basedOn w:val="Absatz-Standardschriftart"/>
    <w:link w:val="berschrift1"/>
    <w:uiPriority w:val="9"/>
    <w:rsid w:val="00F076B6"/>
    <w:rPr>
      <w:rFonts w:ascii="Times New Roman" w:eastAsiaTheme="majorEastAsia" w:cstheme="majorBidi"/>
      <w:b/>
      <w:smallCaps/>
      <w:color w:val="000000" w:themeColor="text1"/>
      <w:sz w:val="24"/>
      <w:szCs w:val="32"/>
    </w:rPr>
  </w:style>
  <w:style w:type="character" w:customStyle="1" w:styleId="berschrift2Zchn">
    <w:name w:val="Überschrift 2 Zchn"/>
    <w:aliases w:val="Überschrift 2 (A Zchn,B Zchn,C) Zchn"/>
    <w:basedOn w:val="Absatz-Standardschriftart"/>
    <w:link w:val="berschrift2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aliases w:val="Überschrift 3 (I Zchn,II Zchn,III) Zchn"/>
    <w:basedOn w:val="Absatz-Standardschriftart"/>
    <w:link w:val="berschrift3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aliases w:val="Überschrift 4 (1 Zchn,2 Zchn,3) Zchn"/>
    <w:basedOn w:val="Absatz-Standardschriftart"/>
    <w:link w:val="berschrift4"/>
    <w:uiPriority w:val="9"/>
    <w:rsid w:val="00F076B6"/>
    <w:rPr>
      <w:rFonts w:ascii="Garamond" w:eastAsiaTheme="majorEastAsia" w:hAnsi="Garamond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aliases w:val="Überschrift 5 (a Zchn,b Zchn,c) Zchn"/>
    <w:basedOn w:val="Absatz-Standardschriftart"/>
    <w:link w:val="berschrift5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</w:rPr>
  </w:style>
  <w:style w:type="character" w:customStyle="1" w:styleId="berschrift6Zchn">
    <w:name w:val="Überschrift 6 Zchn"/>
    <w:aliases w:val="Überschrift 6 (aa Zchn,bb Zchn,cc) Zchn"/>
    <w:basedOn w:val="Absatz-Standardschriftart"/>
    <w:link w:val="berschrift6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</w:rPr>
  </w:style>
  <w:style w:type="character" w:customStyle="1" w:styleId="berschrift7Zchn">
    <w:name w:val="Überschrift 7 Zchn"/>
    <w:aliases w:val="Überschrift 7 (i Zchn,ii Zchn,iii) Zchn"/>
    <w:basedOn w:val="Absatz-Standardschriftart"/>
    <w:link w:val="berschrift7"/>
    <w:uiPriority w:val="9"/>
    <w:rPr>
      <w:rFonts w:ascii="Garamond" w:eastAsiaTheme="majorEastAsia" w:hAnsi="Garamond" w:cstheme="majorBidi"/>
      <w:b/>
      <w:iCs/>
      <w:color w:val="000000" w:themeColor="text1"/>
      <w:sz w:val="24"/>
    </w:rPr>
  </w:style>
  <w:style w:type="numbering" w:customStyle="1" w:styleId="KeineListe1">
    <w:name w:val="Keine Liste1"/>
    <w:next w:val="KeineListe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color w:val="000000" w:themeColor="text1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  <w:rPr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rPr>
      <w:rFonts w:ascii="Garamond" w:hAnsi="Garamond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  <w:rPr>
      <w:color w:val="000000" w:themeColor="text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Garamond" w:hAnsi="Garamond"/>
      <w:color w:val="000000" w:themeColor="text1"/>
      <w:sz w:val="24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color w:val="000000" w:themeColor="text1"/>
      <w:szCs w:val="20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Garamond"/>
      <w:color w:val="000000" w:themeColor="text1"/>
      <w:sz w:val="24"/>
      <w:szCs w:val="20"/>
      <w:lang w:val="en-GB" w:eastAsia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eastAsiaTheme="minorHAnsi"/>
      <w:color w:val="000000" w:themeColor="text1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color w:val="000000" w:themeColor="text1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Garamond" w:hAnsi="Garamond"/>
      <w:color w:val="000000" w:themeColor="text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Garamond" w:hAnsi="Garamond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color w:val="000000" w:themeColor="text1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Garamond"/>
      <w:color w:val="000000" w:themeColor="text1"/>
      <w:sz w:val="18"/>
      <w:szCs w:val="18"/>
    </w:rPr>
  </w:style>
  <w:style w:type="paragraph" w:styleId="KeinLeerraum">
    <w:name w:val="No Spacing"/>
    <w:uiPriority w:val="1"/>
    <w:pPr>
      <w:spacing w:after="0" w:line="240" w:lineRule="auto"/>
    </w:pPr>
    <w:rPr>
      <w:rFonts w:ascii="Garamond" w:hAnsi="Garamond"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pPr>
      <w:ind w:left="720"/>
      <w:jc w:val="left"/>
    </w:pPr>
    <w:rPr>
      <w:rFonts w:asciiTheme="minorHAnsi" w:hAnsiTheme="minorHAnsi"/>
      <w:sz w:val="20"/>
      <w:szCs w:val="20"/>
    </w:rPr>
  </w:style>
  <w:style w:type="table" w:customStyle="1" w:styleId="Gitternetztabelle1hellAkzent11">
    <w:name w:val="Gitternetztabelle 1 hell  – Akzent 1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Garamond" w:hAnsi="Garamond"/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pPr>
      <w:ind w:left="960"/>
      <w:jc w:val="left"/>
    </w:pPr>
    <w:rPr>
      <w:rFonts w:asciiTheme="minorHAnsi" w:hAnsiTheme="minorHAnsi"/>
      <w:sz w:val="20"/>
      <w:szCs w:val="20"/>
    </w:rPr>
  </w:style>
  <w:style w:type="paragraph" w:customStyle="1" w:styleId="Randnoten">
    <w:name w:val="Randnoten"/>
    <w:basedOn w:val="Standard"/>
    <w:next w:val="Standard"/>
    <w:qFormat/>
    <w:rsid w:val="00FB4106"/>
    <w:pPr>
      <w:framePr w:w="1134" w:h="737" w:hSpace="284" w:wrap="around" w:vAnchor="text" w:hAnchor="page" w:y="1"/>
      <w:widowControl w:val="0"/>
      <w:numPr>
        <w:numId w:val="3"/>
      </w:numPr>
      <w:autoSpaceDE w:val="0"/>
      <w:autoSpaceDN w:val="0"/>
      <w:adjustRightInd w:val="0"/>
      <w:jc w:val="center"/>
    </w:pPr>
    <w:rPr>
      <w:rFonts w:cs="Garamond"/>
      <w:b/>
      <w:color w:val="000000" w:themeColor="text1"/>
      <w:sz w:val="22"/>
      <w:szCs w:val="24"/>
      <w:lang w:val="nl-NL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paragraph" w:styleId="Verzeichnis6">
    <w:name w:val="toc 6"/>
    <w:basedOn w:val="Standard"/>
    <w:next w:val="Standard"/>
    <w:autoRedefine/>
    <w:uiPriority w:val="39"/>
    <w:unhideWhenUsed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szCs w:val="24"/>
      <w:lang w:val="de-DE"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spellingerror">
    <w:name w:val="spellingerror"/>
    <w:basedOn w:val="Absatz-Standardschriftart"/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rFonts w:eastAsiaTheme="minorHAnsi" w:cstheme="minorBidi"/>
      <w:b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0">
    <w:name w:val="Nicht aufgelöste Erwähnung40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00">
    <w:name w:val="Nicht aufgelöste Erwähnung400"/>
    <w:basedOn w:val="Absatz-Standardschriftart"/>
    <w:uiPriority w:val="99"/>
    <w:rPr>
      <w:color w:val="808080"/>
      <w:shd w:val="clear" w:color="auto" w:fill="E6E6E6"/>
    </w:rPr>
  </w:style>
  <w:style w:type="character" w:customStyle="1" w:styleId="st">
    <w:name w:val="st"/>
    <w:basedOn w:val="Absatz-Standardschriftart"/>
  </w:style>
  <w:style w:type="character" w:customStyle="1" w:styleId="NichtaufgelsteErwhnung5">
    <w:name w:val="Nicht aufgelöste Erwähnung5"/>
    <w:basedOn w:val="Absatz-Standardschriftart"/>
    <w:uiPriority w:val="99"/>
    <w:rPr>
      <w:color w:val="808080"/>
      <w:shd w:val="clear" w:color="auto" w:fill="E6E6E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</w:pPr>
    <w:rPr>
      <w:color w:val="000000" w:themeColor="text1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imes New Roman"/>
      <w:color w:val="000000" w:themeColor="text1"/>
      <w:sz w:val="24"/>
      <w:szCs w:val="24"/>
    </w:rPr>
  </w:style>
  <w:style w:type="table" w:customStyle="1" w:styleId="Gitternetztabelle1hellAkzent111">
    <w:name w:val="Gitternetztabelle 1 hell  – Akzent 11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2">
    <w:name w:val="Gitternetztabelle 1 hell  – Akzent 11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">
    <w:name w:val="List Bullet"/>
    <w:basedOn w:val="Standard"/>
    <w:uiPriority w:val="99"/>
    <w:unhideWhenUsed/>
    <w:pPr>
      <w:numPr>
        <w:numId w:val="2"/>
      </w:numPr>
      <w:contextualSpacing/>
    </w:pPr>
  </w:style>
  <w:style w:type="paragraph" w:customStyle="1" w:styleId="p1">
    <w:name w:val="p1"/>
    <w:basedOn w:val="Standard"/>
    <w:pPr>
      <w:spacing w:line="240" w:lineRule="auto"/>
      <w:jc w:val="left"/>
    </w:pPr>
    <w:rPr>
      <w:rFonts w:ascii="Helvetica" w:hAnsi="Helvetica"/>
      <w:sz w:val="20"/>
      <w:szCs w:val="20"/>
      <w:lang w:val="de-DE" w:eastAsia="de-DE"/>
    </w:rPr>
  </w:style>
  <w:style w:type="character" w:customStyle="1" w:styleId="NichtaufgelsteErwhnung6">
    <w:name w:val="Nicht aufgelöste Erwähnung6"/>
    <w:basedOn w:val="Absatz-Standardschriftart"/>
    <w:uiPriority w:val="99"/>
    <w:rPr>
      <w:color w:val="808080"/>
      <w:shd w:val="clear" w:color="auto" w:fill="E6E6E6"/>
    </w:rPr>
  </w:style>
  <w:style w:type="character" w:customStyle="1" w:styleId="citation">
    <w:name w:val="citation"/>
    <w:basedOn w:val="Absatz-Standardschriftart"/>
    <w:rsid w:val="00D7175C"/>
  </w:style>
  <w:style w:type="paragraph" w:styleId="Funotentext">
    <w:name w:val="footnote text"/>
    <w:basedOn w:val="Standard"/>
    <w:link w:val="FunotentextZchn"/>
    <w:uiPriority w:val="99"/>
    <w:unhideWhenUsed/>
    <w:rsid w:val="005F0571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F0571"/>
    <w:rPr>
      <w:rFonts w:ascii="Garamond" w:hAnsi="Garamond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F0571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F5405E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911B57"/>
  </w:style>
  <w:style w:type="character" w:customStyle="1" w:styleId="highlight">
    <w:name w:val="highlight"/>
    <w:basedOn w:val="Absatz-Standardschriftart"/>
    <w:rsid w:val="003C7997"/>
  </w:style>
  <w:style w:type="character" w:customStyle="1" w:styleId="zit">
    <w:name w:val="zit"/>
    <w:basedOn w:val="Absatz-Standardschriftart"/>
    <w:rsid w:val="004E78D1"/>
  </w:style>
  <w:style w:type="character" w:customStyle="1" w:styleId="unsichtbar">
    <w:name w:val="unsichtbar"/>
    <w:basedOn w:val="Absatz-Standardschriftart"/>
    <w:rsid w:val="004E78D1"/>
  </w:style>
  <w:style w:type="character" w:customStyle="1" w:styleId="authority">
    <w:name w:val="authority"/>
    <w:basedOn w:val="Absatz-Standardschriftart"/>
    <w:rsid w:val="002502B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0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0DCC"/>
    <w:rPr>
      <w:rFonts w:ascii="Courier New" w:hAnsi="Courier New" w:cs="Courier New"/>
      <w:sz w:val="20"/>
      <w:szCs w:val="20"/>
      <w:lang w:val="de-DE" w:eastAsia="de-DE"/>
    </w:rPr>
  </w:style>
  <w:style w:type="paragraph" w:customStyle="1" w:styleId="Text">
    <w:name w:val="Text"/>
    <w:rsid w:val="005D3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de-DE"/>
    </w:rPr>
  </w:style>
  <w:style w:type="paragraph" w:customStyle="1" w:styleId="a">
    <w:name w:val="바탕글"/>
    <w:basedOn w:val="Standard"/>
    <w:rsid w:val="0021012D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Batang" w:eastAsia="Gulim" w:hAnsi="Gulim" w:cs="Gulim"/>
      <w:color w:val="000000"/>
      <w:sz w:val="20"/>
      <w:szCs w:val="20"/>
      <w:lang w:eastAsia="ko-KR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C1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gruyter.com/view/journals/ael/ahead-of-print/article-10.1515-ael-2019-0054/article-10.1515-ael-2019-0054.x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183AA3-995F-AC4C-96D3-E42EC4A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4933</Words>
  <Characters>31081</Characters>
  <Application>Microsoft Macintosh Word</Application>
  <DocSecurity>0</DocSecurity>
  <Lines>259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Z.</dc:creator>
  <cp:keywords/>
  <dc:description/>
  <cp:lastModifiedBy>Maximilian Beilner</cp:lastModifiedBy>
  <cp:revision>116</cp:revision>
  <cp:lastPrinted>2018-07-08T13:07:00Z</cp:lastPrinted>
  <dcterms:created xsi:type="dcterms:W3CDTF">2020-08-26T08:37:00Z</dcterms:created>
  <dcterms:modified xsi:type="dcterms:W3CDTF">2022-01-17T09:21:00Z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3ad25dcc-e883-40a3-8695-cdb53ff5834e</vt:lpwstr>
  </property>
</Properties>
</file>