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AA" w:rsidRPr="00F3089D" w:rsidRDefault="003836A8" w:rsidP="00490B5E">
      <w:pPr>
        <w:jc w:val="center"/>
        <w:outlineLvl w:val="2"/>
        <w:rPr>
          <w:rFonts w:eastAsia="Times New Roman"/>
          <w:b/>
          <w:bCs/>
          <w:sz w:val="24"/>
          <w:szCs w:val="24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lang w:eastAsia="de-DE"/>
        </w:rPr>
        <w:t>S</w:t>
      </w:r>
      <w:r w:rsidR="00BE39AA" w:rsidRPr="00F3089D">
        <w:rPr>
          <w:rFonts w:eastAsia="Times New Roman"/>
          <w:b/>
          <w:bCs/>
          <w:sz w:val="24"/>
          <w:szCs w:val="24"/>
          <w:lang w:eastAsia="de-DE"/>
        </w:rPr>
        <w:t>chriftenverzeichnis</w:t>
      </w:r>
    </w:p>
    <w:p w:rsidR="00BE39AA" w:rsidRPr="00F3089D" w:rsidRDefault="00BE39AA" w:rsidP="00490B5E">
      <w:pPr>
        <w:jc w:val="center"/>
        <w:outlineLvl w:val="2"/>
        <w:rPr>
          <w:rFonts w:eastAsia="Times New Roman"/>
          <w:b/>
          <w:bCs/>
          <w:sz w:val="24"/>
          <w:szCs w:val="24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lang w:eastAsia="de-DE"/>
        </w:rPr>
        <w:t xml:space="preserve">Prof. Dr. Bernd </w:t>
      </w:r>
      <w:proofErr w:type="spellStart"/>
      <w:r w:rsidRPr="00F3089D">
        <w:rPr>
          <w:rFonts w:eastAsia="Times New Roman"/>
          <w:b/>
          <w:bCs/>
          <w:sz w:val="24"/>
          <w:szCs w:val="24"/>
          <w:lang w:eastAsia="de-DE"/>
        </w:rPr>
        <w:t>Waas</w:t>
      </w:r>
      <w:proofErr w:type="spellEnd"/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I. Herausgeberschaften</w:t>
      </w:r>
    </w:p>
    <w:p w:rsidR="00490B5E" w:rsidRPr="00F3089D" w:rsidRDefault="00490B5E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070"/>
      </w:tblGrid>
      <w:tr w:rsidR="00C74A24" w:rsidRPr="0085002E" w:rsidTr="00936268">
        <w:trPr>
          <w:tblCellSpacing w:w="0" w:type="dxa"/>
        </w:trPr>
        <w:tc>
          <w:tcPr>
            <w:tcW w:w="2000" w:type="dxa"/>
          </w:tcPr>
          <w:p w:rsidR="00C74A24" w:rsidRPr="00F3089D" w:rsidRDefault="00C74A2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7070" w:type="dxa"/>
          </w:tcPr>
          <w:p w:rsidR="00C74A24" w:rsidRDefault="00C74A24" w:rsidP="00376DE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04781F">
              <w:rPr>
                <w:rFonts w:eastAsia="Times New Roman"/>
                <w:i/>
                <w:sz w:val="24"/>
                <w:szCs w:val="24"/>
                <w:lang w:val="en-US" w:eastAsia="de-DE"/>
              </w:rPr>
              <w:t>The Right to Strike: A Comparative View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Herausgeber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Waas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, B., Kluwer Law International, 2014</w:t>
            </w:r>
            <w:r w:rsidR="00D8448C">
              <w:rPr>
                <w:rFonts w:eastAsia="Times New Roman"/>
                <w:sz w:val="24"/>
                <w:szCs w:val="24"/>
                <w:lang w:val="en-US" w:eastAsia="de-DE"/>
              </w:rPr>
              <w:t>, 680 Sn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:rsidR="00C74A24" w:rsidRPr="00C74A24" w:rsidRDefault="00C74A24" w:rsidP="00376DE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74D4D" w:rsidRPr="0085002E" w:rsidTr="00936268">
        <w:trPr>
          <w:tblCellSpacing w:w="0" w:type="dxa"/>
        </w:trPr>
        <w:tc>
          <w:tcPr>
            <w:tcW w:w="2000" w:type="dxa"/>
            <w:hideMark/>
          </w:tcPr>
          <w:p w:rsidR="00274D4D" w:rsidRPr="00C74A24" w:rsidRDefault="00274D4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C74A24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</w:t>
            </w:r>
            <w:r w:rsidR="0011123C" w:rsidRPr="00C74A24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1</w:t>
            </w:r>
          </w:p>
          <w:p w:rsidR="00274D4D" w:rsidRPr="00C74A24" w:rsidRDefault="00274D4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70" w:type="dxa"/>
            <w:hideMark/>
          </w:tcPr>
          <w:p w:rsidR="00962BE3" w:rsidRPr="005100C5" w:rsidRDefault="00BD389F" w:rsidP="00376DE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Editorial, in:</w:t>
            </w:r>
            <w:r w:rsidR="008D4CBF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="00274D4D" w:rsidRPr="00C74A24">
              <w:rPr>
                <w:rFonts w:eastAsia="Times New Roman"/>
                <w:i/>
                <w:sz w:val="24"/>
                <w:szCs w:val="24"/>
                <w:lang w:val="en-US" w:eastAsia="de-DE"/>
              </w:rPr>
              <w:t>Trade Union Rights at the Workplace</w:t>
            </w:r>
            <w:r w:rsidR="00274D4D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="00274D4D" w:rsidRPr="00C74A24">
              <w:rPr>
                <w:rFonts w:eastAsia="Times New Roman"/>
                <w:sz w:val="24"/>
                <w:szCs w:val="24"/>
                <w:lang w:val="en-US" w:eastAsia="de-DE"/>
              </w:rPr>
              <w:t>Reihe</w:t>
            </w:r>
            <w:proofErr w:type="spellEnd"/>
            <w:r w:rsidR="00274D4D" w:rsidRPr="00C74A24">
              <w:rPr>
                <w:rFonts w:eastAsia="Times New Roman"/>
                <w:sz w:val="24"/>
                <w:szCs w:val="24"/>
                <w:lang w:val="en-US" w:eastAsia="de-DE"/>
              </w:rPr>
              <w:t>: Bulletin of Comparative</w:t>
            </w:r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Relations, </w:t>
            </w:r>
            <w:proofErr w:type="spellStart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>Verlag</w:t>
            </w:r>
            <w:proofErr w:type="spellEnd"/>
            <w:r w:rsidR="00962BE3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Kluwer</w:t>
            </w:r>
            <w:r w:rsidR="00274D4D" w:rsidRPr="00C74A24">
              <w:rPr>
                <w:rFonts w:eastAsia="Times New Roman"/>
                <w:sz w:val="24"/>
                <w:szCs w:val="24"/>
                <w:lang w:val="en-US" w:eastAsia="de-DE"/>
              </w:rPr>
              <w:t xml:space="preserve"> La</w:t>
            </w:r>
            <w:r w:rsidR="00274D4D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w International, Alphen </w:t>
            </w:r>
            <w:proofErr w:type="spellStart"/>
            <w:r w:rsidR="00274D4D" w:rsidRPr="005100C5">
              <w:rPr>
                <w:rFonts w:eastAsia="Times New Roman"/>
                <w:sz w:val="24"/>
                <w:szCs w:val="24"/>
                <w:lang w:val="en-US" w:eastAsia="de-DE"/>
              </w:rPr>
              <w:t>aan</w:t>
            </w:r>
            <w:proofErr w:type="spellEnd"/>
            <w:r w:rsidR="00274D4D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den Rijn 201</w:t>
            </w:r>
            <w:r w:rsidR="0011123C" w:rsidRPr="005100C5">
              <w:rPr>
                <w:rFonts w:eastAsia="Times New Roman"/>
                <w:sz w:val="24"/>
                <w:szCs w:val="24"/>
                <w:lang w:val="en-US" w:eastAsia="de-DE"/>
              </w:rPr>
              <w:t>1</w:t>
            </w:r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8D4CBF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Sn. xvii – xix,</w:t>
            </w:r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8D4CBF" w:rsidRPr="005100C5">
              <w:rPr>
                <w:rFonts w:eastAsia="Times New Roman"/>
                <w:sz w:val="24"/>
                <w:szCs w:val="24"/>
                <w:lang w:val="en-US" w:eastAsia="de-DE"/>
              </w:rPr>
              <w:t>Mitherausgeber</w:t>
            </w:r>
            <w:proofErr w:type="spellEnd"/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CA44A3" w:rsidRPr="005100C5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="00376DEC" w:rsidRPr="005100C5">
              <w:rPr>
                <w:rFonts w:eastAsia="Times New Roman"/>
                <w:sz w:val="24"/>
                <w:szCs w:val="24"/>
                <w:lang w:val="en-US" w:eastAsia="de-DE"/>
              </w:rPr>
              <w:t>, R.</w:t>
            </w:r>
            <w:r w:rsidR="00CA44A3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>Klebe</w:t>
            </w:r>
            <w:proofErr w:type="spellEnd"/>
            <w:r w:rsidR="00376DEC" w:rsidRPr="005100C5">
              <w:rPr>
                <w:rFonts w:eastAsia="Times New Roman"/>
                <w:sz w:val="24"/>
                <w:szCs w:val="24"/>
                <w:lang w:val="en-US" w:eastAsia="de-DE"/>
              </w:rPr>
              <w:t>, T.</w:t>
            </w:r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 xml:space="preserve"> und Schmidt</w:t>
            </w:r>
            <w:r w:rsidR="00376DEC" w:rsidRPr="005100C5">
              <w:rPr>
                <w:rFonts w:eastAsia="Times New Roman"/>
                <w:sz w:val="24"/>
                <w:szCs w:val="24"/>
                <w:lang w:val="en-US" w:eastAsia="de-DE"/>
              </w:rPr>
              <w:t>, M.</w:t>
            </w:r>
            <w:r w:rsidR="00962BE3" w:rsidRPr="005100C5"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</w:tc>
      </w:tr>
    </w:tbl>
    <w:p w:rsidR="00B0228C" w:rsidRPr="005100C5" w:rsidRDefault="00B0228C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val="en-US" w:eastAsia="de-DE"/>
        </w:rPr>
      </w:pPr>
    </w:p>
    <w:p w:rsidR="00BE39AA" w:rsidRDefault="00BE39AA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II. Monographien</w:t>
      </w:r>
    </w:p>
    <w:p w:rsidR="00936268" w:rsidRPr="00F3089D" w:rsidRDefault="00936268" w:rsidP="00490B5E">
      <w:pPr>
        <w:jc w:val="both"/>
        <w:outlineLvl w:val="1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7083"/>
      </w:tblGrid>
      <w:tr w:rsidR="00694D67" w:rsidRPr="00F3089D" w:rsidTr="005F026B">
        <w:trPr>
          <w:tblCellSpacing w:w="0" w:type="dxa"/>
        </w:trPr>
        <w:tc>
          <w:tcPr>
            <w:tcW w:w="1987" w:type="dxa"/>
          </w:tcPr>
          <w:p w:rsidR="00694D67" w:rsidRDefault="00694D6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 xml:space="preserve">2014 </w:t>
            </w:r>
          </w:p>
          <w:p w:rsidR="00694D67" w:rsidRDefault="00694D6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</w:tcPr>
          <w:p w:rsidR="00694D67" w:rsidRPr="00F3089D" w:rsidRDefault="00694D67" w:rsidP="00694D6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Arbeitsgerichtsgesetz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(Grunsky/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Waas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/Benecke/Greiner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), 8. Auflage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Verlag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Vahlen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München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C342D9">
              <w:rPr>
                <w:rFonts w:eastAsia="Times New Roman"/>
                <w:sz w:val="24"/>
                <w:szCs w:val="24"/>
                <w:lang w:eastAsia="de-DE"/>
              </w:rPr>
              <w:t>.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43-273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</w:p>
          <w:p w:rsidR="00694D67" w:rsidRPr="00D93B11" w:rsidRDefault="00694D67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</w:tcPr>
          <w:p w:rsidR="007C7BDA" w:rsidRPr="00F3089D" w:rsidRDefault="00F9110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083" w:type="dxa"/>
          </w:tcPr>
          <w:p w:rsidR="000569C5" w:rsidRDefault="00F9110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Multinational Human Resource Management and the Law, Common Workplace Problems in Different Legal Environments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Matthew W.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Finkin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/Joel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Cutcher-Gershenfeld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.)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(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zusammen mit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Takashi Araki, Philipp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Fischinger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Roberto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Fragale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Filho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Andrew Stewart), Edward Elgar Publishing, 2013, 448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C74A24">
              <w:rPr>
                <w:rFonts w:eastAsia="Times New Roman"/>
                <w:sz w:val="24"/>
                <w:szCs w:val="24"/>
                <w:lang w:eastAsia="de-DE"/>
              </w:rPr>
              <w:t>.</w:t>
            </w:r>
            <w:r w:rsidR="00BF0CA4"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9A4BEB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begin"/>
            </w:r>
            <w:r w:rsidR="009A4BEB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instrText xml:space="preserve"> HYPERLINK "http://www.elgaronline.com/abstract/9781781004111.xml" </w:instrText>
            </w:r>
            <w:r w:rsidR="009A4BEB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separate"/>
            </w:r>
            <w:r w:rsidR="00BF0CA4" w:rsidRPr="005100C5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t>Elgaronline</w:t>
            </w:r>
            <w:proofErr w:type="spellEnd"/>
            <w:r w:rsidR="009A4BEB">
              <w:rPr>
                <w:rStyle w:val="Hyperlink"/>
                <w:rFonts w:eastAsia="Times New Roman"/>
                <w:sz w:val="24"/>
                <w:szCs w:val="24"/>
                <w:lang w:eastAsia="de-DE"/>
              </w:rPr>
              <w:fldChar w:fldCharType="end"/>
            </w:r>
            <w:r w:rsidR="00BF0CA4">
              <w:rPr>
                <w:rFonts w:eastAsia="Times New Roman"/>
                <w:sz w:val="24"/>
                <w:szCs w:val="24"/>
                <w:lang w:eastAsia="de-DE"/>
              </w:rPr>
              <w:t xml:space="preserve">) </w:t>
            </w:r>
          </w:p>
          <w:p w:rsidR="00F91105" w:rsidRPr="00F3089D" w:rsidRDefault="00F9110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366851" w:rsidRPr="00F3089D" w:rsidRDefault="000F3250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083" w:type="dxa"/>
            <w:hideMark/>
          </w:tcPr>
          <w:p w:rsidR="000F3250" w:rsidRPr="00F3089D" w:rsidRDefault="000F3250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Betriebsrat und Arbeitszeit</w:t>
            </w:r>
            <w:r w:rsidR="008F2342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Pauschale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Abgeltung und Freistellungen über das Gesetz hinaus</w:t>
            </w:r>
            <w:r w:rsidR="00B741C5" w:rsidRPr="00F3089D"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="008F2342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HSI-Schriftenreihe Band 4</w:t>
            </w:r>
            <w:r w:rsidR="00BE2CA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</w:t>
            </w:r>
            <w:r w:rsidR="00BE2CAF" w:rsidRPr="00F3089D">
              <w:rPr>
                <w:rFonts w:eastAsia="Times New Roman"/>
                <w:sz w:val="24"/>
                <w:szCs w:val="24"/>
                <w:lang w:eastAsia="de-DE"/>
              </w:rPr>
              <w:t>üdwestdeutscher Verlag für Hochschulschriften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7C7BD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1. Auflage, Saarbrücken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2012</w:t>
            </w:r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56 </w:t>
            </w:r>
            <w:proofErr w:type="spellStart"/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7C7BDA" w:rsidRPr="00F3089D" w:rsidRDefault="007C7BD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2CAF" w:rsidRPr="00F3089D" w:rsidRDefault="00BE2CAF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  <w:hideMark/>
          </w:tcPr>
          <w:p w:rsidR="00936268" w:rsidRDefault="00BE2CAF" w:rsidP="0089202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Geschlechterquoten für die Besetzung der Leitungsgremien von Unternehmen</w:t>
            </w:r>
            <w:r w:rsidR="0011123C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–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Bewertung der aktuellen Entwürfe aus unionsrechtlicher und rechtsvergleichender Sicht</w:t>
            </w:r>
            <w:r w:rsidR="005153E8" w:rsidRPr="00F3089D"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="0089202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HSI-Schriftenreihe Band 3, Südwestdeutscher Verlag für Hochschulschriften, 1. Auflage,</w:t>
            </w:r>
            <w:r w:rsidR="00CD243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Saarbrücken 2012</w:t>
            </w:r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72 </w:t>
            </w:r>
            <w:proofErr w:type="spellStart"/>
            <w:r w:rsidR="00016F15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BE2CAF" w:rsidRPr="00F3089D" w:rsidRDefault="00BE2CAF" w:rsidP="0089202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1123C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D8754F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Arbeitsmarkttheorien – Eine ök</w:t>
            </w:r>
            <w:r w:rsidR="00D8754F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onomisch-juristische Einführung</w:t>
            </w:r>
            <w:r w:rsidR="008F234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Prof. Dr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Sesselmeier und </w:t>
            </w:r>
            <w:r w:rsidR="008F2342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Prof. Dr. 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>Funk),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Reihe: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Physica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-Lehrbuch, Springer Verlag, 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3. Auflage,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Berlin</w:t>
            </w:r>
            <w:r w:rsidR="00D8754F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2010</w:t>
            </w:r>
            <w:r w:rsidR="00BA0CAB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553681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341 </w:t>
            </w:r>
            <w:proofErr w:type="spellStart"/>
            <w:r w:rsidR="00553681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8754F" w:rsidRPr="00F3089D" w:rsidRDefault="00D8754F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Modell Holland? – Flexibilität und Sicherheit im Arbeitsrecht der Niederlande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(unter Mitarbeit von Prof. Dr. Guus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Heerma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Voss), Nomos Verlagsgesellschaft, Baden-Baden 2003, 229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F3089D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936268">
        <w:trPr>
          <w:trHeight w:val="2262"/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  <w:hideMark/>
          </w:tcPr>
          <w:p w:rsidR="00936268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Bertelsmann Stiftung, Bundesvereinigung der Deutschen Arbeitgeberverbände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Beschäftigungschancen älterer Arbeitnehmer - Internationaler Vergleich und Handlungsempfehlungen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Bertelsmann Stiftung, Gütersloh, 2003, 229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(zusammen mit Lothar Funk, Hans-Peter Klös, Susanne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Seyda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Rolf Birk).</w:t>
            </w:r>
          </w:p>
        </w:tc>
      </w:tr>
      <w:tr w:rsidR="00BE39AA" w:rsidRPr="0085002E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2001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The legal consequence of discrimination against workers in Germany, the European Union and the Council of Europe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A publication by the Centre for International and Comparative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and Social Security Law, CICLASS -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Sentrum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vir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Internasionale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&amp;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Vergelykende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Arbeids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-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Sosiale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Sekerheidsreg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SIVASS Faculty of Law, Rand Afrikaans University</w:t>
            </w:r>
            <w:r w:rsidR="00033997">
              <w:rPr>
                <w:rFonts w:eastAsia="Times New Roman"/>
                <w:sz w:val="24"/>
                <w:szCs w:val="24"/>
                <w:lang w:val="en-US" w:eastAsia="de-DE"/>
              </w:rPr>
              <w:t>, Publication Series 1/2001 (</w:t>
            </w:r>
            <w:proofErr w:type="spellStart"/>
            <w:r w:rsidR="00033997">
              <w:rPr>
                <w:rFonts w:eastAsia="Times New Roman"/>
                <w:sz w:val="24"/>
                <w:szCs w:val="24"/>
                <w:lang w:val="en-US" w:eastAsia="de-DE"/>
              </w:rPr>
              <w:t>Ok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tober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), Jo</w:t>
            </w:r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hannesburg (</w:t>
            </w:r>
            <w:proofErr w:type="spellStart"/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Südafrika</w:t>
            </w:r>
            <w:proofErr w:type="spellEnd"/>
            <w:r w:rsidR="00997878" w:rsidRPr="00F3089D">
              <w:rPr>
                <w:rFonts w:eastAsia="Times New Roman"/>
                <w:sz w:val="24"/>
                <w:szCs w:val="24"/>
                <w:lang w:val="en-US" w:eastAsia="de-DE"/>
              </w:rPr>
              <w:t>), 146 Sn.</w:t>
            </w:r>
          </w:p>
          <w:p w:rsidR="00CE1C91" w:rsidRPr="003022A5" w:rsidRDefault="00CE1C91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3022A5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Drittwirkungen der Friedenspflicht – Die tarifvertragliche Rechtsstellung des verbandsangehörigen Arbeitgebers im Arbeitskampf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Duncker &amp; Humblot, Berlin, 2001, 173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936268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83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Tarifvertrag und Betriebsübergang – Die Fortgeltung tarifvertraglicher Regelungen beim Betriebsübergang gem. § 613a Abs. 1 S. 2 - 4 BGB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Nomos-Verlagsgesellsch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aft, Baden-Baden, 1999, 124 </w:t>
            </w:r>
            <w:proofErr w:type="spellStart"/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F3089D" w:rsidTr="005F026B">
        <w:trPr>
          <w:tblCellSpacing w:w="0" w:type="dxa"/>
        </w:trPr>
        <w:tc>
          <w:tcPr>
            <w:tcW w:w="1987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83" w:type="dxa"/>
          </w:tcPr>
          <w:p w:rsidR="00936268" w:rsidRPr="00F3089D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Tarifkonkurrenz und Tarifpluralität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161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36268" w:rsidRPr="00F3089D" w:rsidRDefault="00936268" w:rsidP="00490B5E">
            <w:pPr>
              <w:jc w:val="both"/>
              <w:rPr>
                <w:rFonts w:eastAsia="Times New Roman"/>
                <w:i/>
                <w:sz w:val="24"/>
                <w:szCs w:val="24"/>
                <w:lang w:eastAsia="de-DE"/>
              </w:rPr>
            </w:pPr>
          </w:p>
        </w:tc>
      </w:tr>
      <w:tr w:rsidR="00BE39AA" w:rsidRPr="00F3089D" w:rsidTr="005F026B">
        <w:trPr>
          <w:tblCellSpacing w:w="0" w:type="dxa"/>
        </w:trPr>
        <w:tc>
          <w:tcPr>
            <w:tcW w:w="198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083" w:type="dxa"/>
            <w:hideMark/>
          </w:tcPr>
          <w:p w:rsidR="00CE1C91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Konzernarbeitsrecht in Großbritannien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I - XXXIV u. 1 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278</w:t>
            </w:r>
            <w:r w:rsidR="008379D6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8379D6" w:rsidRPr="00F3089D" w:rsidRDefault="008379D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936268" w:rsidRDefault="00936268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III. Aufsätze in Sammelwerken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7102"/>
      </w:tblGrid>
      <w:tr w:rsidR="00516D8E" w:rsidRPr="004444A7" w:rsidTr="004444A7">
        <w:trPr>
          <w:trHeight w:val="1325"/>
          <w:tblCellSpacing w:w="0" w:type="dxa"/>
        </w:trPr>
        <w:tc>
          <w:tcPr>
            <w:tcW w:w="1968" w:type="dxa"/>
            <w:hideMark/>
          </w:tcPr>
          <w:p w:rsidR="00516D8E" w:rsidRDefault="00516D8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  <w:p w:rsidR="00337414" w:rsidRDefault="0033741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  <w:p w:rsidR="00337414" w:rsidRPr="00337414" w:rsidRDefault="00337414" w:rsidP="00337414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37414" w:rsidRDefault="00337414" w:rsidP="00337414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37414" w:rsidRPr="00337414" w:rsidRDefault="00337414" w:rsidP="00337414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  <w:hideMark/>
          </w:tcPr>
          <w:p w:rsidR="00337414" w:rsidRDefault="00516D8E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Kommentierung der §§ 1 u. 2 Tarifvertragsgesetz</w:t>
            </w:r>
            <w:r w:rsidR="002F2AA7"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und des Art. 9 Grundgesetz - Arbeitskampfrecht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in: Rolfs/ Giesen/ </w:t>
            </w:r>
            <w:proofErr w:type="spellStart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Kreikebohm</w:t>
            </w:r>
            <w:proofErr w:type="spellEnd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Udsching</w:t>
            </w:r>
            <w:proofErr w:type="spellEnd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(Hrsg.), </w:t>
            </w:r>
            <w:proofErr w:type="spellStart"/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Beck´scher</w:t>
            </w:r>
            <w:proofErr w:type="spellEnd"/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 Online-Kommentar Arbeitsrecht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="004444A7">
              <w:rPr>
                <w:rFonts w:eastAsia="Times New Roman"/>
                <w:iCs/>
                <w:sz w:val="24"/>
                <w:szCs w:val="24"/>
                <w:lang w:eastAsia="de-DE"/>
              </w:rPr>
              <w:t>(wird fortlaufend aktualisiert).</w:t>
            </w:r>
          </w:p>
          <w:p w:rsidR="004444A7" w:rsidRPr="004444A7" w:rsidRDefault="004444A7" w:rsidP="004444A7">
            <w:pPr>
              <w:pStyle w:val="berschrift3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36268" w:rsidRPr="004444A7" w:rsidTr="004B708B">
        <w:trPr>
          <w:tblCellSpacing w:w="0" w:type="dxa"/>
        </w:trPr>
        <w:tc>
          <w:tcPr>
            <w:tcW w:w="1968" w:type="dxa"/>
          </w:tcPr>
          <w:p w:rsidR="00B86281" w:rsidRDefault="00B86281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2018</w:t>
            </w:r>
          </w:p>
          <w:p w:rsidR="00B86281" w:rsidRDefault="00B86281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2388D" w:rsidRDefault="0042388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2388D" w:rsidRDefault="0042388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2388D" w:rsidRDefault="0042388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2388D" w:rsidRDefault="0042388D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A4BEB" w:rsidRDefault="009A4BEB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2017</w:t>
            </w: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C5805" w:rsidRDefault="008C580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C5805" w:rsidRDefault="008C580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C5805" w:rsidRDefault="008C580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67019" w:rsidRDefault="00067019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703FE" w:rsidRDefault="00A703F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703FE" w:rsidRDefault="00A703F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703FE" w:rsidRDefault="00A703F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703FE" w:rsidRDefault="00A703F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D543A3" w:rsidRDefault="00D543A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D543A3" w:rsidRDefault="00D543A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D543A3" w:rsidRDefault="00D543A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D543A3" w:rsidRDefault="00D543A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D543A3" w:rsidRDefault="00D543A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270C84" w:rsidRDefault="00270C8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270C84" w:rsidRDefault="00270C8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936268" w:rsidRPr="004444A7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4444A7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2016</w:t>
            </w:r>
          </w:p>
        </w:tc>
        <w:tc>
          <w:tcPr>
            <w:tcW w:w="7102" w:type="dxa"/>
          </w:tcPr>
          <w:p w:rsidR="009A4BEB" w:rsidRDefault="009A4BEB" w:rsidP="00D543A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Der Schutz von Beschäftigten in der Plattformökonomie: Ein Blick auf die ILO-Standards, in: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Deinert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Olaf; Heuschmid, Johannes; Kittner, Michael; Schmidt Marlene (Hrsg.): </w:t>
            </w:r>
            <w:r w:rsidRPr="009A4BEB">
              <w:rPr>
                <w:rFonts w:eastAsia="Times New Roman"/>
                <w:i/>
                <w:sz w:val="24"/>
                <w:szCs w:val="24"/>
                <w:lang w:eastAsia="de-DE"/>
              </w:rPr>
              <w:t>Demokratisierung der Wirtschaft durch Arbeitsrecht. Festschrift für Thomas Klebe zum 70. Geburtstag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Bund-Verlag GmbH, Frankfurt am Main 2018, 420-425.  </w:t>
            </w:r>
          </w:p>
          <w:p w:rsidR="009A4BEB" w:rsidRDefault="009A4BEB" w:rsidP="00D543A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42388D" w:rsidRPr="0042388D" w:rsidRDefault="0042388D" w:rsidP="00D543A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EA2BF9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1, 1a und 1b AÜG, in: </w:t>
            </w:r>
            <w:proofErr w:type="spellStart"/>
            <w:r w:rsidRPr="00EA2BF9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EA2BF9">
              <w:rPr>
                <w:rFonts w:eastAsia="Times New Roman"/>
                <w:sz w:val="24"/>
                <w:szCs w:val="24"/>
                <w:lang w:eastAsia="de-DE"/>
              </w:rPr>
              <w:t xml:space="preserve">, Gregor (Hrsg.): </w:t>
            </w:r>
            <w:r w:rsidRPr="00EA2BF9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Arbeitnehmerüberlassungsgesetz. </w:t>
            </w:r>
            <w:proofErr w:type="spellStart"/>
            <w:r w:rsidRPr="0085002E">
              <w:rPr>
                <w:rFonts w:eastAsia="Times New Roman"/>
                <w:i/>
                <w:sz w:val="24"/>
                <w:szCs w:val="24"/>
                <w:lang w:val="en-US" w:eastAsia="de-DE"/>
              </w:rPr>
              <w:t>Kommentar</w:t>
            </w:r>
            <w:proofErr w:type="spellEnd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4. </w:t>
            </w:r>
            <w:proofErr w:type="spellStart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C. H. Beck </w:t>
            </w:r>
            <w:proofErr w:type="spellStart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>Verlag</w:t>
            </w:r>
            <w:proofErr w:type="spellEnd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>Münc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hen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2018, Sn. 74-178</w:t>
            </w:r>
          </w:p>
          <w:p w:rsidR="0042388D" w:rsidRPr="0042388D" w:rsidRDefault="0042388D" w:rsidP="00D543A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B86281" w:rsidRPr="00AD7278" w:rsidRDefault="00AD7278" w:rsidP="00D543A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The position of workers in the collaborative economy – A view on the EU law, in: Singer,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>Reinhard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>Bazzani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val="en-US" w:eastAsia="de-DE"/>
              </w:rPr>
              <w:t xml:space="preserve">, Tania (ed.): </w:t>
            </w:r>
            <w:r w:rsidRPr="00AD7278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European Employment Policies: Current Challenges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Berliner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Wissenschaft</w:t>
            </w:r>
            <w:r w:rsidR="00270C84">
              <w:rPr>
                <w:rFonts w:eastAsia="Times New Roman"/>
                <w:sz w:val="24"/>
                <w:szCs w:val="24"/>
                <w:lang w:val="en-US" w:eastAsia="de-DE"/>
              </w:rPr>
              <w:t>s-Verlag</w:t>
            </w:r>
            <w:proofErr w:type="spellEnd"/>
            <w:r w:rsidR="00270C84">
              <w:rPr>
                <w:rFonts w:eastAsia="Times New Roman"/>
                <w:sz w:val="24"/>
                <w:szCs w:val="24"/>
                <w:lang w:val="en-US" w:eastAsia="de-DE"/>
              </w:rPr>
              <w:t>, Berlin 2018, Sn. 98-118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:rsidR="00AD7278" w:rsidRPr="00AD7278" w:rsidRDefault="00AD7278" w:rsidP="00D543A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D543A3" w:rsidRPr="00270C84" w:rsidRDefault="00D543A3" w:rsidP="00D543A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AD7278">
              <w:rPr>
                <w:rFonts w:eastAsia="Times New Roman"/>
                <w:sz w:val="24"/>
                <w:szCs w:val="24"/>
                <w:lang w:eastAsia="de-DE"/>
              </w:rPr>
              <w:t>Kommentierung der §§ 614, 615, 616, 617, 618, 619, 619a und 628 BGB, in: Däubler</w:t>
            </w:r>
            <w:r w:rsidR="00B86281"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, Wolfgang;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>Hjort</w:t>
            </w:r>
            <w:proofErr w:type="spellEnd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B86281" w:rsidRPr="00AD7278">
              <w:rPr>
                <w:rFonts w:eastAsia="Times New Roman"/>
                <w:sz w:val="24"/>
                <w:szCs w:val="24"/>
                <w:lang w:eastAsia="de-DE"/>
              </w:rPr>
              <w:t>Jens Peter; Schubert</w:t>
            </w:r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B86281"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Michael; </w:t>
            </w:r>
            <w:proofErr w:type="spellStart"/>
            <w:r w:rsidRPr="00AD7278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="00B86281" w:rsidRPr="00AD7278">
              <w:rPr>
                <w:rFonts w:eastAsia="Times New Roman"/>
                <w:sz w:val="24"/>
                <w:szCs w:val="24"/>
                <w:lang w:eastAsia="de-DE"/>
              </w:rPr>
              <w:t>, Martin</w:t>
            </w:r>
            <w:r w:rsidRPr="00AD7278">
              <w:rPr>
                <w:rFonts w:eastAsia="Times New Roman"/>
                <w:sz w:val="24"/>
                <w:szCs w:val="24"/>
                <w:lang w:eastAsia="de-DE"/>
              </w:rPr>
              <w:t xml:space="preserve">: </w:t>
            </w:r>
            <w:r w:rsidRPr="00AD7278">
              <w:rPr>
                <w:rFonts w:eastAsia="Times New Roman"/>
                <w:i/>
                <w:sz w:val="24"/>
                <w:szCs w:val="24"/>
                <w:lang w:eastAsia="de-DE"/>
              </w:rPr>
              <w:t>Arbeitsre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cht –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Individualarbeitsrecht mit kollektivrechtlichen Bezügen </w:t>
            </w:r>
            <w:r w:rsidR="00B86281">
              <w:rPr>
                <w:rFonts w:eastAsia="Times New Roman"/>
                <w:i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Handkommentar</w:t>
            </w:r>
            <w:r w:rsidR="00270C84">
              <w:rPr>
                <w:rFonts w:eastAsia="Times New Roman"/>
                <w:sz w:val="24"/>
                <w:szCs w:val="24"/>
                <w:lang w:eastAsia="de-DE"/>
              </w:rPr>
              <w:t xml:space="preserve"> (zusammen mit </w:t>
            </w:r>
            <w:r w:rsidRPr="00270C84">
              <w:rPr>
                <w:rFonts w:eastAsia="Times New Roman"/>
                <w:sz w:val="24"/>
                <w:szCs w:val="24"/>
                <w:lang w:eastAsia="de-DE"/>
              </w:rPr>
              <w:t xml:space="preserve">Anita </w:t>
            </w:r>
            <w:proofErr w:type="spellStart"/>
            <w:r w:rsidRPr="00270C84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270C84">
              <w:rPr>
                <w:rFonts w:eastAsia="Times New Roman"/>
                <w:sz w:val="24"/>
                <w:szCs w:val="24"/>
                <w:lang w:eastAsia="de-DE"/>
              </w:rPr>
              <w:t xml:space="preserve">), 4. </w:t>
            </w:r>
            <w:proofErr w:type="spellStart"/>
            <w:r w:rsidRPr="00270C84">
              <w:rPr>
                <w:rFonts w:eastAsia="Times New Roman"/>
                <w:sz w:val="24"/>
                <w:szCs w:val="24"/>
                <w:lang w:val="en-US" w:eastAsia="de-DE"/>
              </w:rPr>
              <w:t>Auf</w:t>
            </w:r>
            <w:r w:rsidR="00B86281" w:rsidRPr="00270C84">
              <w:rPr>
                <w:rFonts w:eastAsia="Times New Roman"/>
                <w:sz w:val="24"/>
                <w:szCs w:val="24"/>
                <w:lang w:val="en-US" w:eastAsia="de-DE"/>
              </w:rPr>
              <w:t>lage</w:t>
            </w:r>
            <w:proofErr w:type="spellEnd"/>
            <w:r w:rsidR="00B86281" w:rsidRPr="00270C84">
              <w:rPr>
                <w:rFonts w:eastAsia="Times New Roman"/>
                <w:sz w:val="24"/>
                <w:szCs w:val="24"/>
                <w:lang w:val="en-US" w:eastAsia="de-DE"/>
              </w:rPr>
              <w:t>, Nomos-</w:t>
            </w:r>
            <w:proofErr w:type="spellStart"/>
            <w:r w:rsidR="00B86281" w:rsidRPr="00270C84">
              <w:rPr>
                <w:rFonts w:eastAsia="Times New Roman"/>
                <w:sz w:val="24"/>
                <w:szCs w:val="24"/>
                <w:lang w:val="en-US" w:eastAsia="de-DE"/>
              </w:rPr>
              <w:t>Verlagsgesellschaft</w:t>
            </w:r>
            <w:proofErr w:type="spellEnd"/>
            <w:r w:rsidR="00B86281" w:rsidRPr="00270C84">
              <w:rPr>
                <w:rFonts w:eastAsia="Times New Roman"/>
                <w:sz w:val="24"/>
                <w:szCs w:val="24"/>
                <w:lang w:val="en-US" w:eastAsia="de-DE"/>
              </w:rPr>
              <w:t>, Baden-Baden 2017</w:t>
            </w:r>
            <w:r w:rsidR="00270C84" w:rsidRPr="00270C84">
              <w:rPr>
                <w:rFonts w:eastAsia="Times New Roman"/>
                <w:sz w:val="24"/>
                <w:szCs w:val="24"/>
                <w:lang w:val="en-US" w:eastAsia="de-DE"/>
              </w:rPr>
              <w:t xml:space="preserve">, Sn. </w:t>
            </w:r>
            <w:r w:rsidR="00270C84">
              <w:rPr>
                <w:rFonts w:eastAsia="Times New Roman"/>
                <w:sz w:val="24"/>
                <w:szCs w:val="24"/>
                <w:lang w:val="en-US" w:eastAsia="de-DE"/>
              </w:rPr>
              <w:t>1504-1558 u. 1634-1644.</w:t>
            </w:r>
          </w:p>
          <w:p w:rsidR="00D543A3" w:rsidRPr="00270C84" w:rsidRDefault="00D543A3" w:rsidP="00A703FE">
            <w:pPr>
              <w:pStyle w:val="berschrift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</w:pPr>
          </w:p>
          <w:p w:rsidR="00A703FE" w:rsidRPr="0042388D" w:rsidRDefault="00A703FE" w:rsidP="00A703FE">
            <w:pPr>
              <w:pStyle w:val="berschrift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</w:pP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The Position of Temporary Agency Workers – Lesson</w:t>
            </w:r>
            <w:r w:rsidR="00D543A3"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s</w:t>
            </w: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from Germany</w:t>
            </w:r>
            <w:proofErr w:type="gramStart"/>
            <w:r w:rsidR="00D543A3"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?</w:t>
            </w: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,</w:t>
            </w:r>
            <w:proofErr w:type="gram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in: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Rönnmar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Mia; </w:t>
            </w:r>
            <w:hyperlink r:id="rId8" w:history="1">
              <w:proofErr w:type="spellStart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>Julén</w:t>
              </w:r>
              <w:proofErr w:type="spellEnd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 xml:space="preserve"> </w:t>
              </w:r>
              <w:proofErr w:type="spellStart"/>
              <w:r w:rsidRPr="0042388D">
                <w:rPr>
                  <w:rFonts w:ascii="Times New Roman" w:eastAsia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 w:eastAsia="de-DE"/>
                </w:rPr>
                <w:t>Votinius</w:t>
              </w:r>
              <w:proofErr w:type="spellEnd"/>
            </w:hyperlink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Jenny (ed.):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Festskrift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till Ann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Numhauser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de-DE"/>
              </w:rPr>
              <w:t>-Henning</w:t>
            </w:r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Juristförlaget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i</w:t>
            </w:r>
            <w:proofErr w:type="spellEnd"/>
            <w:r w:rsidRPr="004238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 xml:space="preserve"> Lund</w:t>
            </w:r>
            <w:r w:rsidR="00270C8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de-DE"/>
              </w:rPr>
              <w:t>, Lund 2017, S. 793-804.</w:t>
            </w:r>
          </w:p>
          <w:p w:rsidR="00A703FE" w:rsidRPr="0042388D" w:rsidRDefault="00A703FE" w:rsidP="008C5805">
            <w:pPr>
              <w:pStyle w:val="berschrift3"/>
              <w:spacing w:before="0" w:beforeAutospacing="0" w:after="0" w:afterAutospacing="0"/>
              <w:jc w:val="both"/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en-US"/>
              </w:rPr>
            </w:pPr>
          </w:p>
          <w:p w:rsidR="00067019" w:rsidRPr="00067019" w:rsidRDefault="00067019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Reconsidering the Notion of ‘Employer’ in the Era of the Fissured Workplace in Germany: </w:t>
            </w:r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Should </w:t>
            </w:r>
            <w:proofErr w:type="spellStart"/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 w:rsidRPr="00A703FE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Law Responsibilities Exceed the Boundaries of the Legal Entity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in: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Nakakubo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Hiroya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; Araki, Takashi (ed.): The Notion of Employer in the Era of the Fissured Workplace: Should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Law Responsibilities Exceed the Boundary of the Legal Entity,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Verlag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Wolter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Kluwer, </w:t>
            </w:r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Alphen </w:t>
            </w:r>
            <w:proofErr w:type="spellStart"/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aan</w:t>
            </w:r>
            <w:proofErr w:type="spellEnd"/>
            <w:r w:rsidRP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den Rijn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2017, Sn. 95 – 113. </w:t>
            </w:r>
          </w:p>
          <w:p w:rsidR="00067019" w:rsidRDefault="00067019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4444A7" w:rsidRPr="00A703FE" w:rsidRDefault="004444A7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Wettbewerbsförderalismus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Lohn und Arbeit, in: </w:t>
            </w:r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Hofmann, Rainer; </w:t>
            </w:r>
            <w:proofErr w:type="spellStart"/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Kadelbach</w:t>
            </w:r>
            <w:proofErr w:type="spellEnd"/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, Stefan; Klump, Rainer (Hrsg.): </w:t>
            </w:r>
            <w:r w:rsidR="008C5805" w:rsidRPr="00A703FE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Wettbewerb der Systeme – System des Wettbewerbs in der EU</w:t>
            </w:r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, Nomos-Verlagsgesellschaft, Baden-Baden 2017, </w:t>
            </w:r>
            <w:proofErr w:type="spellStart"/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Sn</w:t>
            </w:r>
            <w:proofErr w:type="spellEnd"/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. 79 – 100</w:t>
            </w:r>
            <w:r w:rsidR="00067019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="008C5805"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4444A7" w:rsidRPr="00A703FE" w:rsidRDefault="004444A7" w:rsidP="004444A7">
            <w:pPr>
              <w:pStyle w:val="berschrift3"/>
              <w:spacing w:before="0" w:beforeAutospacing="0" w:after="0" w:afterAutospacing="0"/>
              <w:rPr>
                <w:b w:val="0"/>
                <w:iCs/>
                <w:color w:val="000000" w:themeColor="text1"/>
                <w:sz w:val="24"/>
                <w:szCs w:val="24"/>
              </w:rPr>
            </w:pPr>
          </w:p>
          <w:p w:rsidR="008C5805" w:rsidRPr="008C5805" w:rsidRDefault="008C5805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Resolving individual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d</w:t>
            </w:r>
            <w:r w:rsidRPr="008C5805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isputes: Germany, in: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Ebisui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Minawa</w:t>
            </w:r>
            <w:proofErr w:type="spellEnd"/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; Cooney Sean; Fenwick, Colin (ed.): </w:t>
            </w:r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Resolving individual </w:t>
            </w:r>
            <w:proofErr w:type="spellStart"/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 w:rsidRPr="008C5805">
              <w:rPr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disputes: A comparative overview</w:t>
            </w:r>
            <w:r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 w:rsid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Labour</w:t>
            </w:r>
            <w:proofErr w:type="spellEnd"/>
            <w:r w:rsid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Office (ILO), </w:t>
            </w:r>
            <w:proofErr w:type="spellStart"/>
            <w:r w:rsid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>Genf</w:t>
            </w:r>
            <w:proofErr w:type="spellEnd"/>
            <w:r w:rsidR="00067019"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  <w:t xml:space="preserve"> 2016, Sn. 135 – 166. </w:t>
            </w:r>
          </w:p>
          <w:p w:rsidR="008C5805" w:rsidRPr="008C5805" w:rsidRDefault="008C5805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4444A7" w:rsidRPr="004444A7" w:rsidRDefault="004444A7" w:rsidP="008C5805">
            <w:pPr>
              <w:pStyle w:val="berschrift3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Multi-Union </w:t>
            </w:r>
            <w:proofErr w:type="spellStart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Bargaining</w:t>
            </w:r>
            <w:proofErr w:type="spellEnd"/>
            <w:r w:rsidRPr="00A703FE">
              <w:rPr>
                <w:b w:val="0"/>
                <w:iCs/>
                <w:color w:val="000000" w:themeColor="text1"/>
                <w:sz w:val="24"/>
                <w:szCs w:val="24"/>
              </w:rPr>
              <w:t>: D</w:t>
            </w:r>
            <w:r w:rsidRPr="004444A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er Grundsatz der Tarifeinheit nach deutschem Recht, in: </w:t>
            </w:r>
            <w:hyperlink r:id="rId9" w:history="1"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Johann Mulder</w:t>
              </w:r>
            </w:hyperlink>
            <w:r w:rsidR="008C5805"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8C5805">
              <w:rPr>
                <w:b w:val="0"/>
                <w:color w:val="000000" w:themeColor="text1"/>
                <w:sz w:val="24"/>
                <w:szCs w:val="24"/>
              </w:rPr>
              <w:t>Bernard</w:t>
            </w:r>
            <w:r w:rsidR="008C5805" w:rsidRPr="008C5805"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Jenum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Hotvedt</w:t>
              </w:r>
              <w:proofErr w:type="spellEnd"/>
            </w:hyperlink>
            <w:r w:rsidR="008C5805"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8C5805">
              <w:rPr>
                <w:b w:val="0"/>
                <w:color w:val="000000" w:themeColor="text1"/>
                <w:sz w:val="24"/>
                <w:szCs w:val="24"/>
              </w:rPr>
              <w:t>Marianne;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8C5805">
                <w:rPr>
                  <w:b w:val="0"/>
                  <w:color w:val="000000" w:themeColor="text1"/>
                  <w:sz w:val="24"/>
                  <w:szCs w:val="24"/>
                </w:rPr>
                <w:t>N</w:t>
              </w:r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esvik</w:t>
              </w:r>
              <w:proofErr w:type="spellEnd"/>
            </w:hyperlink>
            <w:r w:rsidR="008C5805" w:rsidRPr="008C580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8C5805">
              <w:rPr>
                <w:b w:val="0"/>
                <w:color w:val="000000" w:themeColor="text1"/>
                <w:sz w:val="24"/>
                <w:szCs w:val="24"/>
              </w:rPr>
              <w:t>Marie;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Løkken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>Sundet</w:t>
              </w:r>
              <w:proofErr w:type="spellEnd"/>
              <w:r w:rsidR="008C5805">
                <w:rPr>
                  <w:b w:val="0"/>
                  <w:color w:val="000000" w:themeColor="text1"/>
                  <w:sz w:val="24"/>
                  <w:szCs w:val="24"/>
                </w:rPr>
                <w:t xml:space="preserve">, </w:t>
              </w:r>
              <w:proofErr w:type="spellStart"/>
              <w:r w:rsidR="008C5805">
                <w:rPr>
                  <w:b w:val="0"/>
                  <w:color w:val="000000" w:themeColor="text1"/>
                  <w:sz w:val="24"/>
                  <w:szCs w:val="24"/>
                </w:rPr>
                <w:t>Tron</w:t>
              </w:r>
              <w:proofErr w:type="spellEnd"/>
              <w:r w:rsidRPr="004444A7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4444A7">
              <w:rPr>
                <w:b w:val="0"/>
                <w:color w:val="000000" w:themeColor="text1"/>
                <w:sz w:val="24"/>
                <w:szCs w:val="24"/>
              </w:rPr>
              <w:t>(</w:t>
            </w:r>
            <w:r>
              <w:rPr>
                <w:b w:val="0"/>
                <w:color w:val="000000" w:themeColor="text1"/>
                <w:sz w:val="24"/>
                <w:szCs w:val="24"/>
              </w:rPr>
              <w:t>Hrsg.</w:t>
            </w:r>
            <w:r w:rsidRPr="004444A7">
              <w:rPr>
                <w:b w:val="0"/>
                <w:color w:val="000000" w:themeColor="text1"/>
                <w:sz w:val="24"/>
                <w:szCs w:val="24"/>
              </w:rPr>
              <w:t xml:space="preserve">): </w:t>
            </w:r>
            <w:proofErr w:type="spellStart"/>
            <w:r w:rsidR="00D543A3" w:rsidRPr="00D543A3">
              <w:rPr>
                <w:b w:val="0"/>
                <w:i/>
                <w:iCs/>
                <w:sz w:val="24"/>
                <w:szCs w:val="24"/>
              </w:rPr>
              <w:t>Festskrift</w:t>
            </w:r>
            <w:proofErr w:type="spellEnd"/>
            <w:r w:rsidR="00D543A3" w:rsidRPr="00D543A3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543A3" w:rsidRPr="00D543A3">
              <w:rPr>
                <w:b w:val="0"/>
                <w:i/>
                <w:iCs/>
                <w:sz w:val="24"/>
                <w:szCs w:val="24"/>
              </w:rPr>
              <w:t>til</w:t>
            </w:r>
            <w:proofErr w:type="spellEnd"/>
            <w:r w:rsidR="00D543A3" w:rsidRPr="00D543A3">
              <w:rPr>
                <w:b w:val="0"/>
                <w:i/>
                <w:iCs/>
                <w:sz w:val="24"/>
                <w:szCs w:val="24"/>
              </w:rPr>
              <w:t xml:space="preserve"> Stein </w:t>
            </w:r>
            <w:proofErr w:type="spellStart"/>
            <w:r w:rsidR="00D543A3" w:rsidRPr="00D543A3">
              <w:rPr>
                <w:b w:val="0"/>
                <w:i/>
                <w:iCs/>
                <w:sz w:val="24"/>
                <w:szCs w:val="24"/>
              </w:rPr>
              <w:t>Evju</w:t>
            </w:r>
            <w:proofErr w:type="spellEnd"/>
            <w:r w:rsidR="00D543A3" w:rsidRPr="00D543A3">
              <w:rPr>
                <w:b w:val="0"/>
                <w:i/>
                <w:iCs/>
                <w:sz w:val="24"/>
                <w:szCs w:val="24"/>
              </w:rPr>
              <w:t xml:space="preserve"> –</w:t>
            </w:r>
            <w:r w:rsidR="00D543A3">
              <w:rPr>
                <w:b w:val="0"/>
                <w:iCs/>
                <w:sz w:val="24"/>
                <w:szCs w:val="24"/>
              </w:rPr>
              <w:t xml:space="preserve"> </w:t>
            </w:r>
            <w:r w:rsidR="00D543A3">
              <w:rPr>
                <w:b w:val="0"/>
                <w:i/>
                <w:iCs/>
                <w:sz w:val="24"/>
                <w:szCs w:val="24"/>
              </w:rPr>
              <w:t>S</w:t>
            </w:r>
            <w:r w:rsidRPr="004444A7">
              <w:rPr>
                <w:b w:val="0"/>
                <w:i/>
                <w:iCs/>
                <w:sz w:val="24"/>
                <w:szCs w:val="24"/>
              </w:rPr>
              <w:t>ui generis</w:t>
            </w:r>
            <w:r w:rsidR="008C5805"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="008C5805">
              <w:rPr>
                <w:b w:val="0"/>
                <w:iCs/>
                <w:sz w:val="24"/>
                <w:szCs w:val="24"/>
              </w:rPr>
              <w:t>Universitetsforlaget</w:t>
            </w:r>
            <w:proofErr w:type="spellEnd"/>
            <w:r w:rsidR="008C5805">
              <w:rPr>
                <w:b w:val="0"/>
                <w:iCs/>
                <w:sz w:val="24"/>
                <w:szCs w:val="24"/>
              </w:rPr>
              <w:t xml:space="preserve"> AS, Oslo 2016, </w:t>
            </w:r>
            <w:proofErr w:type="spellStart"/>
            <w:r w:rsidR="008C5805">
              <w:rPr>
                <w:b w:val="0"/>
                <w:iCs/>
                <w:sz w:val="24"/>
                <w:szCs w:val="24"/>
              </w:rPr>
              <w:t>Sn</w:t>
            </w:r>
            <w:proofErr w:type="spellEnd"/>
            <w:r w:rsidR="008C5805">
              <w:rPr>
                <w:b w:val="0"/>
                <w:iCs/>
                <w:sz w:val="24"/>
                <w:szCs w:val="24"/>
              </w:rPr>
              <w:t xml:space="preserve">. 708 – </w:t>
            </w:r>
            <w:r w:rsidRPr="004444A7">
              <w:rPr>
                <w:b w:val="0"/>
                <w:iCs/>
                <w:sz w:val="24"/>
                <w:szCs w:val="24"/>
              </w:rPr>
              <w:t>718.</w:t>
            </w:r>
          </w:p>
          <w:p w:rsidR="003022A5" w:rsidRPr="004444A7" w:rsidRDefault="003022A5" w:rsidP="003022A5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936268" w:rsidRPr="0085002E" w:rsidTr="004B708B">
        <w:trPr>
          <w:tblCellSpacing w:w="0" w:type="dxa"/>
        </w:trPr>
        <w:tc>
          <w:tcPr>
            <w:tcW w:w="1968" w:type="dxa"/>
          </w:tcPr>
          <w:p w:rsidR="00936268" w:rsidRPr="004444A7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936268" w:rsidRDefault="00936268" w:rsidP="00936268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Collective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Conflicts in Europe, in: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Basedow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Jürgen, Su Chen,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Fornasier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Matteo,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Liukkunen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Ulla (ed.)</w:t>
            </w:r>
            <w:r w:rsidR="008C5805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:</w:t>
            </w:r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</w:t>
            </w:r>
            <w:r w:rsidRPr="00F74453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Employee Participation and Collective Bargaining in Europe and China</w:t>
            </w:r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, Mohr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Siebeck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,</w:t>
            </w:r>
            <w:r w:rsidR="008C5805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Tübingen</w:t>
            </w:r>
            <w:proofErr w:type="spellEnd"/>
            <w:r w:rsidRPr="00F74453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, 2016, Sn. 147 – 164.</w:t>
            </w:r>
          </w:p>
          <w:p w:rsidR="00936268" w:rsidRPr="00936268" w:rsidRDefault="00936268" w:rsidP="00936268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</w:p>
        </w:tc>
      </w:tr>
      <w:tr w:rsidR="00FF66E4" w:rsidRPr="00F3089D" w:rsidTr="004B708B">
        <w:trPr>
          <w:tblCellSpacing w:w="0" w:type="dxa"/>
        </w:trPr>
        <w:tc>
          <w:tcPr>
            <w:tcW w:w="1968" w:type="dxa"/>
          </w:tcPr>
          <w:p w:rsidR="00FF66E4" w:rsidRPr="00936268" w:rsidRDefault="00FF66E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FF66E4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Kommentier</w:t>
            </w:r>
            <w:r w:rsidR="002316B7"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ung der §§ 3 - 6 Arbeitnehmer-</w:t>
            </w: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Entsendegesetz</w:t>
            </w:r>
            <w:r w:rsidR="00933AB7">
              <w:rPr>
                <w:rFonts w:eastAsia="Times New Roman"/>
                <w:iCs/>
                <w:sz w:val="24"/>
                <w:szCs w:val="24"/>
                <w:lang w:eastAsia="de-DE"/>
              </w:rPr>
              <w:t>,</w:t>
            </w: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in: </w:t>
            </w:r>
            <w:proofErr w:type="spellStart"/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Thüsing</w:t>
            </w:r>
            <w:proofErr w:type="spellEnd"/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, Gregor (Hrs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g.)</w:t>
            </w:r>
            <w:r w:rsidR="00455D37">
              <w:rPr>
                <w:rFonts w:eastAsia="Times New Roman"/>
                <w:iCs/>
                <w:sz w:val="24"/>
                <w:szCs w:val="24"/>
                <w:lang w:eastAsia="de-DE"/>
              </w:rPr>
              <w:t>: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Pr="002316B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Mindestlohngesetz u</w:t>
            </w:r>
            <w:r w:rsidR="00A221CA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nd Arbeitnehmer-Entsendegesetz </w:t>
            </w:r>
            <w:r w:rsidR="00A221CA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br/>
            </w:r>
            <w:r w:rsidRPr="002316B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- Kommentar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C.H. Beck, 2. Auflage, München 2016, 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Sn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. 279 – 307.</w:t>
            </w:r>
          </w:p>
          <w:p w:rsidR="002316B7" w:rsidRPr="00FF66E4" w:rsidRDefault="002316B7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562468" w:rsidRPr="00F3089D" w:rsidTr="004B708B">
        <w:trPr>
          <w:tblCellSpacing w:w="0" w:type="dxa"/>
        </w:trPr>
        <w:tc>
          <w:tcPr>
            <w:tcW w:w="1968" w:type="dxa"/>
          </w:tcPr>
          <w:p w:rsidR="00562468" w:rsidRPr="00F3089D" w:rsidRDefault="00FF66E4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7102" w:type="dxa"/>
          </w:tcPr>
          <w:p w:rsidR="00562468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455D37">
              <w:rPr>
                <w:rFonts w:eastAsia="Times New Roman"/>
                <w:iCs/>
                <w:sz w:val="24"/>
                <w:szCs w:val="24"/>
                <w:lang w:eastAsia="de-DE"/>
              </w:rPr>
              <w:t>Art. 30 der Grundrechtecharta – Inhalt und Bedeutung für das deutsche Recht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, in: Stumpf, Cordula; Kainer, Fri</w:t>
            </w:r>
            <w:r w:rsidR="008C5805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edemann; </w:t>
            </w:r>
            <w:proofErr w:type="spellStart"/>
            <w:r w:rsidR="008C5805">
              <w:rPr>
                <w:rFonts w:eastAsia="Times New Roman"/>
                <w:iCs/>
                <w:sz w:val="24"/>
                <w:szCs w:val="24"/>
                <w:lang w:eastAsia="de-DE"/>
              </w:rPr>
              <w:t>Baldus</w:t>
            </w:r>
            <w:proofErr w:type="spellEnd"/>
            <w:r w:rsidR="008C5805">
              <w:rPr>
                <w:rFonts w:eastAsia="Times New Roman"/>
                <w:iCs/>
                <w:sz w:val="24"/>
                <w:szCs w:val="24"/>
                <w:lang w:eastAsia="de-DE"/>
              </w:rPr>
              <w:t>, Christian (Hrsg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.): </w:t>
            </w:r>
            <w:r w:rsidRPr="00455D3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Festschrift für Peter-Christian Müller-Graff zum 70. Geburtstag</w:t>
            </w:r>
            <w:r w:rsidR="00455D37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,</w:t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="002316B7">
              <w:rPr>
                <w:rFonts w:eastAsia="Times New Roman"/>
                <w:iCs/>
                <w:sz w:val="24"/>
                <w:szCs w:val="24"/>
                <w:lang w:eastAsia="de-DE"/>
              </w:rPr>
              <w:br/>
            </w:r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Nomos-Verlagsgesellschaft, Baden-Baden, 2015, </w:t>
            </w:r>
            <w:proofErr w:type="spellStart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S</w:t>
            </w:r>
            <w:r w:rsidR="00A221CA">
              <w:rPr>
                <w:rFonts w:eastAsia="Times New Roman"/>
                <w:iCs/>
                <w:sz w:val="24"/>
                <w:szCs w:val="24"/>
                <w:lang w:eastAsia="de-DE"/>
              </w:rPr>
              <w:t>n</w:t>
            </w:r>
            <w:proofErr w:type="spellEnd"/>
            <w:r w:rsidRPr="00FF66E4">
              <w:rPr>
                <w:rFonts w:eastAsia="Times New Roman"/>
                <w:iCs/>
                <w:sz w:val="24"/>
                <w:szCs w:val="24"/>
                <w:lang w:eastAsia="de-DE"/>
              </w:rPr>
              <w:t>. 358 - 364.</w:t>
            </w:r>
          </w:p>
          <w:p w:rsidR="00FF66E4" w:rsidRPr="00F3089D" w:rsidRDefault="00FF66E4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</w:tc>
      </w:tr>
      <w:tr w:rsidR="00936268" w:rsidRPr="00936268" w:rsidTr="004B708B">
        <w:trPr>
          <w:tblCellSpacing w:w="0" w:type="dxa"/>
        </w:trPr>
        <w:tc>
          <w:tcPr>
            <w:tcW w:w="1968" w:type="dxa"/>
          </w:tcPr>
          <w:p w:rsidR="00936268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7102" w:type="dxa"/>
          </w:tcPr>
          <w:p w:rsidR="009362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Mitarbeiterkapitalbeteiligung und Arbeitsrecht, in: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Lowitzsch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J. &amp; Hanisch, S. (Hrsg.), </w:t>
            </w:r>
            <w:r w:rsidRPr="008E5B50">
              <w:rPr>
                <w:rFonts w:eastAsia="Times New Roman"/>
                <w:i/>
                <w:sz w:val="24"/>
                <w:szCs w:val="24"/>
                <w:lang w:eastAsia="de-DE"/>
              </w:rPr>
              <w:t>Mitarbeiterkapitalbeteiligung unter Verwendung einer Beteiligungsgesellschaft – Gestaltung und Finanzierungsansätze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Hans-Böckler-Stiftung,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67-114.</w:t>
            </w:r>
          </w:p>
          <w:p w:rsidR="00936268" w:rsidRPr="00936268" w:rsidRDefault="00936268" w:rsidP="00851631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936268" w:rsidRPr="0085002E" w:rsidTr="004B708B">
        <w:trPr>
          <w:tblCellSpacing w:w="0" w:type="dxa"/>
        </w:trPr>
        <w:tc>
          <w:tcPr>
            <w:tcW w:w="1968" w:type="dxa"/>
          </w:tcPr>
          <w:p w:rsidR="00936268" w:rsidRPr="00F3089D" w:rsidRDefault="0093626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936268" w:rsidRPr="005624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National Perspectives: Germany, in: Freedland, M. &amp;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Prassl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J. (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.)</w:t>
            </w:r>
            <w:proofErr w:type="gram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,  </w:t>
            </w:r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</w:t>
            </w:r>
            <w:proofErr w:type="gram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in the Member States:</w:t>
            </w: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Viking, Laval and Beyond</w:t>
            </w: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Hart Publishing, Oxford und Portland, Oregon, 2014, Sn. 155-170.</w:t>
            </w:r>
          </w:p>
          <w:p w:rsidR="00936268" w:rsidRPr="00936268" w:rsidRDefault="00936268" w:rsidP="00936268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5F1323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Arbeitsrecht 4.0 – Versuch eines Blicks in die Zukunft des Arbeitsrechts, in: Fachbereich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Reschtswissenschaft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der Goethe-Universität Frankfurt am Main (Hrsg.), </w:t>
            </w:r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100 Jahre Rechtswissenschaft in </w:t>
            </w:r>
            <w:proofErr w:type="spellStart"/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>Frankufurt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:</w:t>
            </w:r>
            <w:r w:rsidRPr="001E4FD8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Erfahrungen, Herausforderungen, Erwartungen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Vittorio Klostermann,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547-562.</w:t>
            </w:r>
          </w:p>
          <w:p w:rsidR="005F1323" w:rsidRPr="005F1323" w:rsidRDefault="005F1323" w:rsidP="00936268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Pr="004D76B1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Besonderheiten der Haftung im Arbeitsverhältnis nach deutschem Recht, in: </w:t>
            </w:r>
            <w:proofErr w:type="spellStart"/>
            <w:r w:rsidRPr="004D76B1">
              <w:rPr>
                <w:rFonts w:eastAsia="Times New Roman"/>
                <w:sz w:val="24"/>
                <w:szCs w:val="24"/>
                <w:lang w:eastAsia="de-DE"/>
              </w:rPr>
              <w:t>Swiatkowskiego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A.</w:t>
            </w: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 (Hrsg.)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Studia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zakresu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prawa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pracy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polityki</w:t>
            </w:r>
            <w:proofErr w:type="spellEnd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D76B1">
              <w:rPr>
                <w:rFonts w:eastAsia="Times New Roman"/>
                <w:i/>
                <w:sz w:val="24"/>
                <w:szCs w:val="24"/>
                <w:lang w:eastAsia="de-DE"/>
              </w:rPr>
              <w:t>spotecznej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Kraków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Rocznik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2014, Sn.41-50.</w:t>
            </w:r>
            <w:r w:rsidRPr="004D76B1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85002E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Pr="007931D6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The capacity of trade unions to bargain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collectivelly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 in Germany, in: 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Abrantes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, J. J. (</w:t>
            </w:r>
            <w:proofErr w:type="spellStart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562468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Congresso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Europeu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direito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do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trabalho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Comunicações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apresentadas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no congress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organizado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pela ELSA Nova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Lisboa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Faculdade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Direito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da </w:t>
            </w:r>
            <w:proofErr w:type="spellStart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>Universidade</w:t>
            </w:r>
            <w:proofErr w:type="spellEnd"/>
            <w:r w:rsidRPr="00562468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Nova </w:t>
            </w:r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de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Lisboa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realizado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nos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dias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12, 13 e 14 </w:t>
            </w:r>
            <w:proofErr w:type="spellStart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>abril</w:t>
            </w:r>
            <w:proofErr w:type="spellEnd"/>
            <w:r w:rsidRPr="005C073C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2012</w:t>
            </w:r>
            <w:r w:rsidRPr="007931D6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>Edições</w:t>
            </w:r>
            <w:proofErr w:type="spellEnd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>Almedina</w:t>
            </w:r>
            <w:proofErr w:type="spellEnd"/>
            <w:r w:rsidRPr="00997542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7931D6">
              <w:rPr>
                <w:rFonts w:eastAsia="Times New Roman"/>
                <w:sz w:val="24"/>
                <w:szCs w:val="24"/>
                <w:lang w:val="en-US" w:eastAsia="de-DE"/>
              </w:rPr>
              <w:t xml:space="preserve">2014, Sn. 105-121. </w:t>
            </w:r>
          </w:p>
          <w:p w:rsidR="005F1323" w:rsidRP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5F1323" w:rsidTr="004B708B">
        <w:trPr>
          <w:tblCellSpacing w:w="0" w:type="dxa"/>
        </w:trPr>
        <w:tc>
          <w:tcPr>
            <w:tcW w:w="1968" w:type="dxa"/>
          </w:tcPr>
          <w:p w:rsidR="005F1323" w:rsidRPr="003022A5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E697C">
              <w:rPr>
                <w:rFonts w:eastAsia="Times New Roman"/>
                <w:sz w:val="24"/>
                <w:szCs w:val="24"/>
                <w:lang w:eastAsia="de-DE"/>
              </w:rPr>
              <w:t>Besonderheiten des Arbeitsrechts im öffentlichen Dienst und vergleichender Kommentar, in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7E697C">
              <w:rPr>
                <w:rFonts w:eastAsia="Times New Roman"/>
                <w:sz w:val="24"/>
                <w:szCs w:val="24"/>
                <w:lang w:eastAsia="de-DE"/>
              </w:rPr>
              <w:t xml:space="preserve"> Rückert, J.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(Hrsg.), </w:t>
            </w:r>
            <w:r w:rsidRPr="007E697C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 und Recht seit 1800. Historisch und vergleichend,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e</w:t>
            </w:r>
            <w:r w:rsidRPr="007E697C">
              <w:rPr>
                <w:rFonts w:eastAsia="Times New Roman"/>
                <w:i/>
                <w:sz w:val="24"/>
                <w:szCs w:val="24"/>
                <w:lang w:eastAsia="de-DE"/>
              </w:rPr>
              <w:t>uropäisch und global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Böhlau Verlag, Köln Weimar Wien,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377-381.</w:t>
            </w:r>
          </w:p>
          <w:p w:rsidR="005F1323" w:rsidRPr="003022A5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5F1323" w:rsidRPr="0085002E" w:rsidTr="004B708B">
        <w:trPr>
          <w:tblCellSpacing w:w="0" w:type="dxa"/>
        </w:trPr>
        <w:tc>
          <w:tcPr>
            <w:tcW w:w="1968" w:type="dxa"/>
          </w:tcPr>
          <w:p w:rsidR="005F1323" w:rsidRPr="00F3089D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D389F">
              <w:rPr>
                <w:rFonts w:eastAsia="Times New Roman"/>
                <w:sz w:val="24"/>
                <w:szCs w:val="24"/>
                <w:lang w:val="en-US" w:eastAsia="de-DE"/>
              </w:rPr>
              <w:t>Gen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der Quota in Company Boards: Germany, in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: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 De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Vos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M. und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Culliford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, P.</w:t>
            </w:r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D8448C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.)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D8448C">
              <w:rPr>
                <w:rFonts w:eastAsia="Times New Roman"/>
                <w:i/>
                <w:sz w:val="24"/>
                <w:szCs w:val="24"/>
                <w:lang w:val="en-US" w:eastAsia="de-DE"/>
              </w:rPr>
              <w:t>Gender Quotas for Company Boards</w:t>
            </w:r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In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tersentia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Cambridge, 2014, Sn. 131-146. </w:t>
            </w:r>
          </w:p>
          <w:p w:rsidR="005F1323" w:rsidRP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5F1323" w:rsidRPr="0085002E" w:rsidTr="004B708B">
        <w:trPr>
          <w:tblCellSpacing w:w="0" w:type="dxa"/>
        </w:trPr>
        <w:tc>
          <w:tcPr>
            <w:tcW w:w="1968" w:type="dxa"/>
          </w:tcPr>
          <w:p w:rsidR="005F1323" w:rsidRPr="003022A5" w:rsidRDefault="005F132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102" w:type="dxa"/>
          </w:tcPr>
          <w:p w:rsidR="005F1323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Non-Trade Union Workers’ Representation in Germany, in: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R.,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Lyutov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, N. (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8805F7">
              <w:rPr>
                <w:rFonts w:eastAsia="Times New Roman"/>
                <w:i/>
                <w:sz w:val="24"/>
                <w:szCs w:val="24"/>
                <w:lang w:val="en-US" w:eastAsia="de-DE"/>
              </w:rPr>
              <w:t>Workers’ Representation in Central and Eastern Europe. Challenges and Opportunities for the Works Councils’ System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 Wolters Kluwer, 2014, Sn. 85-103.</w:t>
            </w:r>
          </w:p>
          <w:p w:rsidR="005F1323" w:rsidRPr="00BD389F" w:rsidRDefault="005F1323" w:rsidP="005F1323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B6C02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102" w:type="dxa"/>
            <w:hideMark/>
          </w:tcPr>
          <w:p w:rsidR="002F4E35" w:rsidRPr="00F3089D" w:rsidRDefault="002F4E35" w:rsidP="00516D8E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Tarifvertragsrecht in Zeiten der Krise, in</w:t>
            </w:r>
            <w:r w:rsidR="00BD389F">
              <w:rPr>
                <w:rFonts w:eastAsia="Times New Roman"/>
                <w:iCs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Schubert, J.M. (Hrsg.), </w:t>
            </w:r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Anforderungen an ein modernes kollektives Arbeitsrecht,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Festschrift für</w:t>
            </w:r>
            <w:r w:rsidRPr="00F3089D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 xml:space="preserve"> Otto Ernst Kempen</w:t>
            </w:r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, Nomos Verlag, Baden Baden, 2013, </w:t>
            </w:r>
            <w:proofErr w:type="spellStart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iCs/>
                <w:sz w:val="24"/>
                <w:szCs w:val="24"/>
                <w:lang w:eastAsia="de-DE"/>
              </w:rPr>
              <w:t>. 38-58.</w:t>
            </w:r>
          </w:p>
          <w:p w:rsidR="002F4E35" w:rsidRPr="00F3089D" w:rsidRDefault="002F4E35" w:rsidP="00851631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85002E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Basic features of dismissal protection in Germany, in</w:t>
            </w:r>
            <w:r w:rsidR="00BD389F">
              <w:rPr>
                <w:rFonts w:eastAsia="Times New Roman"/>
                <w:sz w:val="24"/>
                <w:szCs w:val="24"/>
                <w:lang w:val="en-US" w:eastAsia="de-DE"/>
              </w:rPr>
              <w:t>: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Malherbe/Sloth-Nielsen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into the Future: Essays in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Honour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of Darcy du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Toit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JUTA, Cape Town 2012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  <w:lang w:val="en-US" w:eastAsia="de-DE"/>
              </w:rPr>
              <w:t>S</w:t>
            </w:r>
            <w:proofErr w:type="gramEnd"/>
            <w:r>
              <w:rPr>
                <w:rFonts w:eastAsia="Times New Roman"/>
                <w:sz w:val="24"/>
                <w:szCs w:val="24"/>
                <w:lang w:val="en-US" w:eastAsia="de-DE"/>
              </w:rPr>
              <w:t>. 142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D8448C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1 – 1b AÜG,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Arbeitnehmerüberlassungsgesetz: Kommentar,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Verlag C.H. Beck, 3.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>München</w:t>
            </w:r>
            <w:proofErr w:type="spellEnd"/>
            <w:r w:rsidRPr="00D8448C">
              <w:rPr>
                <w:rFonts w:eastAsia="Times New Roman"/>
                <w:sz w:val="24"/>
                <w:szCs w:val="24"/>
                <w:lang w:val="en-US" w:eastAsia="de-DE"/>
              </w:rPr>
              <w:t xml:space="preserve"> 2012, Sn. 80 - 192.</w:t>
            </w:r>
          </w:p>
          <w:p w:rsidR="002F4E35" w:rsidRPr="00D8448C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Who is Allowed to Represent the Employees? The Capacity of Trade Unions to Bargain Collectively in German Law,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Regulation in the 21st Century: In Search of Flexibility and Security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Cam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b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ridge Scholar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s Publishing 2012, Sn. 149-162,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veröffentlicht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auch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Market of 21st Century: Looking for Flexibility and Security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2011, Sn. 164-177.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2011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des § 1 KSchG (teilw.),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/Laux/Lembke,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Kündigungsschutzgesetz – Kommentar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Gabrys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), 2.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Auflage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Haufe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2011, Sn. 73 - 172. 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2010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614, 615, 616, 617, 618, 619, 619a und 628 BGB, in: Däubler, </w:t>
            </w:r>
            <w:r w:rsidR="00B86281">
              <w:rPr>
                <w:rFonts w:eastAsia="Times New Roman"/>
                <w:sz w:val="24"/>
                <w:szCs w:val="24"/>
                <w:lang w:eastAsia="de-DE"/>
              </w:rPr>
              <w:t xml:space="preserve">Wolfgang;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Hjort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r w:rsidR="00B86281">
              <w:rPr>
                <w:rFonts w:eastAsia="Times New Roman"/>
                <w:sz w:val="24"/>
                <w:szCs w:val="24"/>
                <w:lang w:eastAsia="de-DE"/>
              </w:rPr>
              <w:t xml:space="preserve">Jens Peter; Hummel, Dieter; </w:t>
            </w:r>
            <w:proofErr w:type="spellStart"/>
            <w:r w:rsidR="00B86281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="00B86281">
              <w:rPr>
                <w:rFonts w:eastAsia="Times New Roman"/>
                <w:sz w:val="24"/>
                <w:szCs w:val="24"/>
                <w:lang w:eastAsia="de-DE"/>
              </w:rPr>
              <w:t>, Martin: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Individualarbeitsrecht mit kollektivrechtlichen Bezügen </w:t>
            </w:r>
            <w:r>
              <w:rPr>
                <w:rFonts w:eastAsia="Times New Roman"/>
                <w:i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Handkommentar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), 2. Auf</w:t>
            </w:r>
            <w:r w:rsidR="00B86281">
              <w:rPr>
                <w:rFonts w:eastAsia="Times New Roman"/>
                <w:sz w:val="24"/>
                <w:szCs w:val="24"/>
                <w:lang w:eastAsia="de-DE"/>
              </w:rPr>
              <w:t xml:space="preserve">lage, Nomos-Verlagsgesellschaft, Baden-Baden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2010.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901F3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Kommentierung der §§ 3-6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AEntG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Arbeitnehmer-Entsendegesetz: AentG und Erläuterungen zum Mindestarbeitsbedingungengesetz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C.H. Beck, 2010,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120-149.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Lebenslaufpolitik in den Niederlanden – Die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levensloopregeling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 aus deutscher Sicht,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Naegele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Gerhard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 Lebenslaufpolitik – Sozialpolitik und Sozialstaat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 für Sozialwissenschaften 2010,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711-731.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Trends im deutschen Arbeitsrecht, in: </w:t>
            </w:r>
            <w:r w:rsidRPr="00F3089D">
              <w:rPr>
                <w:rStyle w:val="catproductnumber"/>
                <w:i/>
                <w:sz w:val="24"/>
                <w:szCs w:val="24"/>
              </w:rPr>
              <w:t>Perspektiven der Mitbestimmung in Deutschland</w:t>
            </w:r>
            <w:r w:rsidRPr="00F3089D">
              <w:rPr>
                <w:rStyle w:val="catproductnumber"/>
                <w:sz w:val="24"/>
                <w:szCs w:val="24"/>
              </w:rPr>
              <w:t xml:space="preserve">, Wissenschaftliche Round-Table-Jahrestagung 24. Oktober 2007 in Berlin; IW-Symposien, Tagungsdokumentationen aus dem Institut der deutschen Wirtschaft Köln, 2008, </w:t>
            </w:r>
            <w:proofErr w:type="spellStart"/>
            <w:r w:rsidRPr="00F3089D">
              <w:rPr>
                <w:rStyle w:val="catproductnumber"/>
                <w:sz w:val="24"/>
                <w:szCs w:val="24"/>
              </w:rPr>
              <w:t>Sn</w:t>
            </w:r>
            <w:proofErr w:type="spellEnd"/>
            <w:r w:rsidRPr="00F3089D">
              <w:rPr>
                <w:rStyle w:val="catproductnumber"/>
                <w:sz w:val="24"/>
                <w:szCs w:val="24"/>
              </w:rPr>
              <w:t>. 11 - 22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390B4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Tarifdispositive Normen und der Schutz der Koalitionsfreiheit in Art. 9, Abs.3 GG,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Konzen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390B47">
              <w:rPr>
                <w:rFonts w:eastAsia="Times New Roman"/>
                <w:sz w:val="24"/>
                <w:szCs w:val="24"/>
                <w:lang w:eastAsia="de-DE"/>
              </w:rPr>
              <w:t>Krebber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>Raab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>Veit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390B47">
              <w:rPr>
                <w:rFonts w:eastAsia="Times New Roman"/>
                <w:sz w:val="24"/>
                <w:szCs w:val="24"/>
                <w:lang w:eastAsia="de-DE"/>
              </w:rPr>
              <w:t>Waas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(Hrsg.),</w:t>
            </w:r>
            <w:r w:rsidRPr="00390B47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390B47">
              <w:rPr>
                <w:rFonts w:eastAsia="Times New Roman"/>
                <w:i/>
                <w:sz w:val="24"/>
                <w:szCs w:val="24"/>
                <w:lang w:eastAsia="de-DE"/>
              </w:rPr>
              <w:t>Festschrift für Rolf Birk zum siebzigsten Geburtstag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Mohr Siebeck, Tübingen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899 - 914.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Protection against the Termination of a Contract of Employment: Lessons from am Comparison between Dutch and German Law,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Pennings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/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Konijn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Veldman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.)</w:t>
            </w:r>
            <w:proofErr w:type="gram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 </w:t>
            </w:r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Soc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ial</w:t>
            </w:r>
            <w:proofErr w:type="gram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Responsibility in Labor Relations, European and comparative Perspectives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Liber </w:t>
            </w:r>
            <w:proofErr w:type="spellStart"/>
            <w:r w:rsidRPr="00F3089D">
              <w:rPr>
                <w:rStyle w:val="Hervorhebung"/>
                <w:sz w:val="24"/>
                <w:szCs w:val="24"/>
                <w:lang w:val="en-US"/>
              </w:rPr>
              <w:t>Amicorum</w:t>
            </w:r>
            <w:proofErr w:type="spellEnd"/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F3089D">
              <w:rPr>
                <w:rStyle w:val="Hervorhebung"/>
                <w:sz w:val="24"/>
                <w:szCs w:val="24"/>
                <w:lang w:val="en-US"/>
              </w:rPr>
              <w:t>Teun</w:t>
            </w:r>
            <w:proofErr w:type="spellEnd"/>
            <w:r w:rsidRPr="00F3089D">
              <w:rPr>
                <w:rStyle w:val="Hervorhebung"/>
                <w:sz w:val="24"/>
                <w:szCs w:val="24"/>
                <w:lang w:val="en-US"/>
              </w:rPr>
              <w:t xml:space="preserve"> Jaspers</w:t>
            </w:r>
            <w:r w:rsidRPr="00F3089D">
              <w:rPr>
                <w:sz w:val="24"/>
                <w:szCs w:val="24"/>
                <w:lang w:val="en-US"/>
              </w:rPr>
              <w:t xml:space="preserve">, Alphen </w:t>
            </w:r>
            <w:proofErr w:type="spellStart"/>
            <w:r w:rsidRPr="00F3089D">
              <w:rPr>
                <w:sz w:val="24"/>
                <w:szCs w:val="24"/>
                <w:lang w:val="en-US"/>
              </w:rPr>
              <w:t>aan</w:t>
            </w:r>
            <w:proofErr w:type="spellEnd"/>
            <w:r w:rsidRPr="00F3089D">
              <w:rPr>
                <w:sz w:val="24"/>
                <w:szCs w:val="24"/>
                <w:lang w:val="en-US"/>
              </w:rPr>
              <w:t xml:space="preserve"> den Rijn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Kluwer Law International, 2008, Sn. 239-247.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Verträge zur EU-Osterweiterung: Beschäftigung und Sozialpolitik,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erli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Franz; Huster, Stephan (H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s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Die Verträge zur EU-Osterweiterung Kommentar mit systematischen Erläuterungen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Berliner-Wissenschafts-Verlag, Berlin,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333-367.</w:t>
            </w:r>
          </w:p>
          <w:p w:rsidR="002F4E35" w:rsidRPr="00BF0CA4" w:rsidRDefault="002F4E35" w:rsidP="00210FEB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7102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Sinn und Tragweite der Bestätigung eines nichtigen Rechtsgeschäfts nach § 141 BGB,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Wackerbarth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Vormbaum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Marutschke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Ulrich Eisenhardt zum 70.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Geburtstag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C.H. Beck, 2007, Sn. 126 - 145.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Decentralizing Industrial Relations and the Role of Labor Unions and Employee Representatives in Germany, in: </w:t>
            </w:r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 Institute for </w:t>
            </w:r>
            <w:proofErr w:type="spellStart"/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493B2E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</w:t>
            </w:r>
            <w:r w:rsidRPr="00493B2E">
              <w:rPr>
                <w:rFonts w:eastAsia="Times New Roman"/>
                <w:sz w:val="24"/>
                <w:szCs w:val="24"/>
                <w:lang w:val="en-US" w:eastAsia="de-DE"/>
              </w:rPr>
              <w:t>and Training Report No. 3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2006, Sn. 13 - 3;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Japanese Journal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Studies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– Nihon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Rodo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Kenkyu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Zasshi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Sn. 11 – 25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sowie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Decentralizing Industrial Relations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>and the Role of Labor Unions and Employee Representatives, Kluwer Law International, The Hague/London/New York, 2007, Sn. 17 – 40.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Europäisierung des Arbeitsrechts und Arbeitsrechtsvergleichung als Herausforderungen der Arbeitsrechtswissenschaft,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Jahrbuch der Gesellschaft der Freunde der Fernuniversität Hagen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68 – 76.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Autonome Vereinbarungen der europäischen Sozialpartner im Lichte des deutschen Tarifrechts, in: </w:t>
            </w:r>
            <w:proofErr w:type="spellStart"/>
            <w:r w:rsidRPr="00F3089D">
              <w:rPr>
                <w:sz w:val="24"/>
                <w:szCs w:val="24"/>
              </w:rPr>
              <w:t>Davulis</w:t>
            </w:r>
            <w:proofErr w:type="spellEnd"/>
            <w:r w:rsidRPr="00F3089D">
              <w:rPr>
                <w:sz w:val="24"/>
                <w:szCs w:val="24"/>
              </w:rPr>
              <w:t xml:space="preserve"> und </w:t>
            </w:r>
            <w:proofErr w:type="spellStart"/>
            <w:r w:rsidRPr="00F3089D">
              <w:rPr>
                <w:sz w:val="24"/>
                <w:szCs w:val="24"/>
              </w:rPr>
              <w:t>Petrylaité</w:t>
            </w:r>
            <w:proofErr w:type="spellEnd"/>
            <w:r w:rsidRPr="00F3089D">
              <w:rPr>
                <w:sz w:val="24"/>
                <w:szCs w:val="24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Professor Dr.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Ipolitas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Nekrošius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70. Geburtstag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 Vilnius, 2007,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234 – 254.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2005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soziale Dialog auf Gemeinschaftsebene in neuem Licht: Ein Blick auf „autonome Vereinbarungen der Sozialpartner“,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Höland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/Hohmann-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Dennhardt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/Schmidt/Seifert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Arbeitnehmermitwirkung in einer sich globalisierenden Arbeitswelt/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Employee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Involvement in a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Globalising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World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Festschrift für Professor Dr. Manfred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Berliner Wissenschafts-Verlag, Berlin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145 – 161.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Employee and self-employed under German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in: Caruso/Fuchs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Flexibility in Europe: the cases of Germany and Italy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Nomos-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lagsgesellschaft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2004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Sn. 203 – 216.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Reform des Rechts der Arbeitnehmerüberlassung in Deutschland, in: Juristische Fakultät der Universität Vilnius, Litauen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 im vereinigten Europa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Vilnius (Litauen)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66 – 79.</w:t>
            </w: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Regulation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Working Time in Germany, National Report,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in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Boonstra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Knegt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Schaapman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Regels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voor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arbeids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- en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rusttijden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negen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Europese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landen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Reed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business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information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Amsterdam 2004. 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85002E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7102" w:type="dxa"/>
            <w:hideMark/>
          </w:tcPr>
          <w:p w:rsidR="002F4E35" w:rsidRPr="00F3089D" w:rsidRDefault="002F4E35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Corporate restructuring and the role of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 in Germany,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/Araki/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Ouchi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Corporate restructuring and the role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law, Bulletin of Comparative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Relations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sz w:val="24"/>
                <w:szCs w:val="24"/>
                <w:lang w:val="en-US"/>
              </w:rPr>
              <w:t>Kluwer Law International,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Den Haag/London/New York, 2003, Sn. 79 – 101;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Japan Institute of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: Corporate Restructuring and the Role of Labor Law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– 2002 JIL Comparative Labor Law Seminar, JIL Report 2002 No. 10, Tokyo, 2002, Sn. 25 – 47.</w:t>
            </w:r>
          </w:p>
          <w:p w:rsidR="002F4E35" w:rsidRPr="00F3089D" w:rsidRDefault="002F4E35" w:rsidP="003412A2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102" w:type="dxa"/>
            <w:hideMark/>
          </w:tcPr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Le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licenciement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et la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transmission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d´entreprise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Marraud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/Kessler/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Géa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La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rupture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du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contrat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travail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droits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francais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allemand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Presses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Universitaires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de Strasbourg, 2000, Straßburg (Frankreich),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417 – 432.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102" w:type="dxa"/>
            <w:hideMark/>
          </w:tcPr>
          <w:p w:rsidR="002F4E35" w:rsidRPr="00BF0CA4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German national report: The European Works Council according to German Law, in: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Rigaux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Dorssemont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.):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Comités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d´entreprise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européens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–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examen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juridique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du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comité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d´entreprise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européen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vers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un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amendement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 la directive CE 94/45?; European Works Councils – A legal analysis of the European Works Council: towards a revision of Directive (EC) No 94/45?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Intersentia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Rechtswetenschappen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>Antwerpen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/Groningen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Belgien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Niederlande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), 1999, Sn. 135 - 152 (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Rolf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Birk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).</w:t>
            </w:r>
          </w:p>
          <w:p w:rsidR="002F4E35" w:rsidRPr="00BF0CA4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Retention of title clauses in Germany, in: Davies (ed.):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Retention of Title Clauses in Sale of Goods Contracts in Europe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Ashgate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Dartmouth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Vereinigtes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Königreich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), 1999, Sn. 33-45.</w:t>
            </w: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Widerspruchsrecht des Arbeitnehmers gegen den Übergang seines Arbeitsverhältnisses auf den Betriebserwerber – EuGH vom 16. Dezember 1991, verb.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C-132/91, C-138/91 und C-139/91 (Grigorios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Katsikas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gegen Angelos Konstantinidis u. a.),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Slg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1992, I-6577,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Haverkate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/Huster (Hrsg.):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Casebook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Arbeits- und Sozialrecht der EU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153 – 181.</w:t>
            </w:r>
          </w:p>
          <w:p w:rsidR="002F4E35" w:rsidRPr="00F3089D" w:rsidRDefault="002F4E35" w:rsidP="0007567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 eines Auftragsverhältnisses und Übertragung auf ein anderes Fremdunternehmen als Betriebsübergang – EuGH vom 11. März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C-13/95 (Ayse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Süzen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gegen Zehnacker Gebäudereinigung GmbH Krankenhausservice),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Slg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1997, I-1259,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Haverkate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/Huster/ Schmidt (Hrsg.):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Casebook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zum Arbeits- und Sozialrecht der EU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Nomos-Verlagsgesellschaft, Baden-Baden,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125 – 152.</w:t>
            </w:r>
          </w:p>
          <w:p w:rsidR="002F4E35" w:rsidRPr="00F3089D" w:rsidRDefault="002F4E35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85002E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1997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Unternehmensverfassung,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/Gagel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Handbuch des Arbeits- und Sozialrechts (HAS)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4, Nomos Verlagsgesellschaft, Baden-Baden,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121.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Betriebsverfassungsrecht der Niederlande im Spiegel des deutschen Rechts, in: György (Hrsg.):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Festschrift für Tamas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Prugberger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Miskolc 1997,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375 – 409.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Dispute Resolution Systems in EU State Nations and their practices,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Industrial Relations in Korea and the EU: Their Structural Characteristics and the Adjustment of Korean Multinational Firms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Seoul, 1997, Sn. 293 - 310 (in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koreanischer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Sprache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) u. Sn. 1 - 17 (in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englischer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Sprache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 [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zusammen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mit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Professor Dr. Rolf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Birk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]. 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Stichwort „Gemeinsame Einrichtungen der Tarifvertragsparteien“,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Ergänzbares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Lexikon des Rechts – Gruppe Arbeitsrecht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Luchterhand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Neuwied,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Stichwort „Probearbeitsverhältnis“,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Ergänzbares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Lexikon des Rechts – Gruppe Arbeitsrecht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Luchterhand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Neuwied,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85002E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Betriebsübergang,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/Gagel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Handbuch des Arbeits- und Sozialrechts (HAS)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2, Nomos Verlagsgesellschaft, Baden-Baden,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74.</w:t>
            </w:r>
          </w:p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German Experience on Workers´ Commuting Injuries,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Colloquium of the Association of Industrial Relations and the Chung Hua Institute for Industrial Relations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Taipeh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1994; Sn. 1 – 16. 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  <w:hideMark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1992</w:t>
            </w:r>
          </w:p>
        </w:tc>
        <w:tc>
          <w:tcPr>
            <w:tcW w:w="7102" w:type="dxa"/>
            <w:hideMark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Europäisierung des Arbeitsrechts, in: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Breidenbach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a.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Jahrbuch Junger Zivilrechtswissenschaftler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 (Rechtsfortbildung jenseits klassischer Methodik – Privatautonomie zwischen Status und Kontrakt – Privatrecht und Europa),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Boorberg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185 – 209.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102" w:type="dxa"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Länderbericht Großbritannien, in: Kraemer/Tiedemann (Hrsg.),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Unternehmen und Berater im EG Binnenmarkt – Handbuch für Finanzen Recht Steuern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Verlagsgruppe Handelsblatt, Düsseldorf,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151 – 189.</w:t>
            </w:r>
          </w:p>
          <w:p w:rsidR="002F4E35" w:rsidRPr="00F3089D" w:rsidRDefault="002F4E35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2F4E35" w:rsidRPr="00F3089D" w:rsidTr="004B708B">
        <w:trPr>
          <w:tblCellSpacing w:w="0" w:type="dxa"/>
        </w:trPr>
        <w:tc>
          <w:tcPr>
            <w:tcW w:w="1968" w:type="dxa"/>
          </w:tcPr>
          <w:p w:rsidR="002F4E35" w:rsidRPr="00F3089D" w:rsidRDefault="002F4E35" w:rsidP="00B0228C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102" w:type="dxa"/>
          </w:tcPr>
          <w:p w:rsidR="002F4E35" w:rsidRPr="00F3089D" w:rsidRDefault="002F4E35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7147F3" w:rsidRPr="00F3089D" w:rsidRDefault="007147F3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E705AA" w:rsidRPr="00F3089D" w:rsidRDefault="00E705AA" w:rsidP="00490B5E">
      <w:pPr>
        <w:jc w:val="both"/>
        <w:rPr>
          <w:rFonts w:eastAsia="Times New Roman"/>
          <w:b/>
          <w:bCs/>
          <w:sz w:val="24"/>
          <w:szCs w:val="24"/>
          <w:u w:val="single"/>
          <w:lang w:val="en-US"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 xml:space="preserve">IV. </w:t>
      </w:r>
      <w:proofErr w:type="spellStart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>Aufsätze</w:t>
      </w:r>
      <w:proofErr w:type="spellEnd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 xml:space="preserve"> in </w:t>
      </w:r>
      <w:proofErr w:type="spellStart"/>
      <w:r w:rsidRPr="00F3089D">
        <w:rPr>
          <w:rFonts w:eastAsia="Times New Roman"/>
          <w:b/>
          <w:bCs/>
          <w:sz w:val="24"/>
          <w:szCs w:val="24"/>
          <w:u w:val="single"/>
          <w:lang w:val="en-US" w:eastAsia="de-DE"/>
        </w:rPr>
        <w:t>Fachzeitschriften</w:t>
      </w:r>
      <w:proofErr w:type="spellEnd"/>
    </w:p>
    <w:p w:rsidR="00E705AA" w:rsidRPr="00F3089D" w:rsidRDefault="00E705AA" w:rsidP="00490B5E">
      <w:pPr>
        <w:jc w:val="both"/>
        <w:rPr>
          <w:rFonts w:eastAsia="Times New Roman"/>
          <w:b/>
          <w:bCs/>
          <w:sz w:val="24"/>
          <w:szCs w:val="24"/>
          <w:lang w:val="en-US"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057"/>
      </w:tblGrid>
      <w:tr w:rsidR="00FA318F" w:rsidRPr="0085002E" w:rsidTr="00EB0EB5">
        <w:trPr>
          <w:tblCellSpacing w:w="0" w:type="dxa"/>
        </w:trPr>
        <w:tc>
          <w:tcPr>
            <w:tcW w:w="2013" w:type="dxa"/>
          </w:tcPr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2018</w:t>
            </w:r>
          </w:p>
          <w:p w:rsidR="00AD7278" w:rsidRDefault="00AD7278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040936" w:rsidRDefault="00040936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5002E" w:rsidRDefault="0085002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2016</w:t>
            </w: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4444A7" w:rsidRDefault="004444A7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5002E" w:rsidRDefault="0085002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5002E" w:rsidRDefault="0085002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85002E" w:rsidRDefault="0085002E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</w:p>
          <w:p w:rsidR="00FA318F" w:rsidRPr="00F3089D" w:rsidRDefault="00FA318F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de-DE"/>
              </w:rPr>
              <w:t>2014</w:t>
            </w:r>
          </w:p>
        </w:tc>
        <w:tc>
          <w:tcPr>
            <w:tcW w:w="7057" w:type="dxa"/>
          </w:tcPr>
          <w:p w:rsidR="0085002E" w:rsidRPr="0085002E" w:rsidRDefault="0085002E" w:rsidP="00E705AA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85002E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The New Legal Status of Independent Contractors: Some Comments from a German Perspective,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in: </w:t>
            </w:r>
            <w:r w:rsidRPr="0085002E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Comparative Labor Law &amp; Policy Journal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, Band 39, 2018, Sn. 627-637.</w:t>
            </w:r>
          </w:p>
          <w:p w:rsidR="0085002E" w:rsidRPr="0085002E" w:rsidRDefault="0085002E" w:rsidP="00E705AA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</w:p>
          <w:p w:rsidR="00AD7278" w:rsidRPr="0085002E" w:rsidRDefault="00AD7278" w:rsidP="00E705AA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  <w:r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Rechtsangleichung im Recht der Kettenbefristung der EU, in: </w:t>
            </w:r>
            <w:r w:rsidRPr="0085002E">
              <w:rPr>
                <w:rFonts w:eastAsia="Times New Roman"/>
                <w:i/>
                <w:iCs/>
                <w:sz w:val="24"/>
                <w:szCs w:val="24"/>
                <w:lang w:eastAsia="de-DE"/>
              </w:rPr>
              <w:t>Soziales Recht</w:t>
            </w:r>
            <w:r w:rsidR="00392642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  <w:r w:rsidR="00EA2BF9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2018, Ausgabe 1, </w:t>
            </w:r>
            <w:proofErr w:type="spellStart"/>
            <w:r w:rsidR="00EA2BF9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>S</w:t>
            </w:r>
            <w:r w:rsidR="0085002E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>n</w:t>
            </w:r>
            <w:proofErr w:type="spellEnd"/>
            <w:r w:rsidR="00EA2BF9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>. 42-44.</w:t>
            </w:r>
            <w:r w:rsidR="00392642" w:rsidRPr="0085002E">
              <w:rPr>
                <w:rFonts w:eastAsia="Times New Roman"/>
                <w:iCs/>
                <w:sz w:val="24"/>
                <w:szCs w:val="24"/>
                <w:lang w:eastAsia="de-DE"/>
              </w:rPr>
              <w:t xml:space="preserve"> </w:t>
            </w:r>
          </w:p>
          <w:p w:rsidR="00AD7278" w:rsidRPr="0085002E" w:rsidRDefault="00AD7278" w:rsidP="00E705AA">
            <w:pPr>
              <w:jc w:val="both"/>
              <w:rPr>
                <w:rFonts w:eastAsia="Times New Roman"/>
                <w:iCs/>
                <w:sz w:val="24"/>
                <w:szCs w:val="24"/>
                <w:lang w:eastAsia="de-DE"/>
              </w:rPr>
            </w:pPr>
          </w:p>
          <w:p w:rsidR="004444A7" w:rsidRPr="004444A7" w:rsidRDefault="004444A7" w:rsidP="00E705AA">
            <w:pPr>
              <w:jc w:val="both"/>
              <w:rPr>
                <w:rFonts w:eastAsia="Times New Roman"/>
                <w:iCs/>
                <w:sz w:val="24"/>
                <w:szCs w:val="24"/>
                <w:lang w:val="en-US" w:eastAsia="de-DE"/>
              </w:rPr>
            </w:pP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Reconsidering the Notion of „Employer“ in the Era of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he Fissured Workplace: Should </w:t>
            </w:r>
            <w:proofErr w:type="spellStart"/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Law Responsibilities 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>e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xceed the Boundary of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</w:t>
            </w:r>
            <w:r w:rsidRPr="00936268">
              <w:rPr>
                <w:rFonts w:eastAsia="Times New Roman"/>
                <w:iCs/>
                <w:sz w:val="24"/>
                <w:szCs w:val="24"/>
                <w:lang w:val="en-US" w:eastAsia="de-DE"/>
              </w:rPr>
              <w:t>the Legal Entity?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, in: </w:t>
            </w:r>
            <w:r w:rsidRPr="00337414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The Japan Institute for </w:t>
            </w:r>
            <w:proofErr w:type="spellStart"/>
            <w:r w:rsidRPr="00337414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337414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 Policy and Training</w:t>
            </w:r>
            <w:r>
              <w:rPr>
                <w:rFonts w:eastAsia="Times New Roman"/>
                <w:iCs/>
                <w:sz w:val="24"/>
                <w:szCs w:val="24"/>
                <w:lang w:val="en-US" w:eastAsia="de-DE"/>
              </w:rPr>
              <w:t xml:space="preserve"> (JILPT), Report No. 15 (2016), Sn. 95 – 113.</w:t>
            </w:r>
          </w:p>
          <w:p w:rsidR="004444A7" w:rsidRPr="004444A7" w:rsidRDefault="004444A7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FA318F" w:rsidRDefault="00FA318F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Eingriffe in Tarifvertragssysteme in Europa,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2014,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 309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313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977B52" w:rsidRDefault="00977B52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977B52" w:rsidRPr="00977B52" w:rsidRDefault="00F06D4B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Undeclared work: possible sanctions on c</w:t>
            </w:r>
            <w:r w:rsidR="00977B52" w:rsidRPr="00977B52">
              <w:rPr>
                <w:rFonts w:eastAsia="Times New Roman"/>
                <w:sz w:val="24"/>
                <w:szCs w:val="24"/>
                <w:lang w:val="en-US" w:eastAsia="de-DE"/>
              </w:rPr>
              <w:t>lo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ser e</w:t>
            </w:r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 xml:space="preserve">xamination, in: </w:t>
            </w:r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European </w:t>
            </w:r>
            <w:proofErr w:type="spellStart"/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="00977B52" w:rsidRPr="00977B52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Journal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 xml:space="preserve"> Vol. 5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>, 2014</w:t>
            </w:r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gramStart"/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>Sn</w:t>
            </w:r>
            <w:proofErr w:type="gramEnd"/>
            <w:r w:rsidR="00977B52">
              <w:rPr>
                <w:rFonts w:eastAsia="Times New Roman"/>
                <w:sz w:val="24"/>
                <w:szCs w:val="24"/>
                <w:lang w:val="en-US" w:eastAsia="de-DE"/>
              </w:rPr>
              <w:t>. 187-201.</w:t>
            </w:r>
          </w:p>
          <w:p w:rsidR="00FA318F" w:rsidRPr="00977B52" w:rsidRDefault="00FA318F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11123C" w:rsidRPr="0085002E" w:rsidTr="00EB0EB5">
        <w:trPr>
          <w:tblCellSpacing w:w="0" w:type="dxa"/>
        </w:trPr>
        <w:tc>
          <w:tcPr>
            <w:tcW w:w="2013" w:type="dxa"/>
          </w:tcPr>
          <w:p w:rsidR="0011123C" w:rsidRPr="00FA318F" w:rsidRDefault="00FC237A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A318F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7057" w:type="dxa"/>
          </w:tcPr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Gleichbehandlungsgrundsatz im neuen Arbeitnehmerüberlassungs-gesetz,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 – 13.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Editorial,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European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2012, Volume 3, No. 3, Sn. 188-190. 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A quid pro quo in temporary agency work: Abolishing restrictions and establishing equal treatment – lessons to be learned from European and German Labor Law</w:t>
            </w:r>
            <w:proofErr w:type="gram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?,</w:t>
            </w:r>
            <w:proofErr w:type="gramEnd"/>
            <w:r w:rsidR="00FF1A9A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Comparative Labor Law &amp; Policy Journal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Band 34, </w:t>
            </w:r>
            <w:r w:rsidR="0085002E" w:rsidRPr="00F3089D">
              <w:rPr>
                <w:rFonts w:eastAsia="Times New Roman"/>
                <w:sz w:val="24"/>
                <w:szCs w:val="24"/>
                <w:lang w:val="en-US" w:eastAsia="de-DE"/>
              </w:rPr>
              <w:t>2012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Sn.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>47-61.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Employee Representation at the Enterprise in Germany, in:</w:t>
            </w:r>
            <w:r w:rsidR="00FF1A9A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Japan Institute for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and Training Report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Nr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. 11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2012, 17 Sn. </w:t>
            </w:r>
          </w:p>
          <w:p w:rsidR="00201EC4" w:rsidRPr="00F3089D" w:rsidRDefault="00201EC4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047E9D" w:rsidRPr="0085002E" w:rsidTr="00EB0EB5">
        <w:trPr>
          <w:tblCellSpacing w:w="0" w:type="dxa"/>
        </w:trPr>
        <w:tc>
          <w:tcPr>
            <w:tcW w:w="2013" w:type="dxa"/>
            <w:hideMark/>
          </w:tcPr>
          <w:p w:rsidR="00047E9D" w:rsidRPr="00F3089D" w:rsidRDefault="00047E9D" w:rsidP="00AA603F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7057" w:type="dxa"/>
            <w:hideMark/>
          </w:tcPr>
          <w:p w:rsidR="00D51D0D" w:rsidRPr="00F3089D" w:rsidRDefault="00D51D0D" w:rsidP="00047E9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Der Regelungsentwurf von DGB und BDA zur Tarifeinheit, in</w:t>
            </w:r>
            <w:r w:rsidR="00E34D4D" w:rsidRPr="00F3089D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2011,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93 – 99.</w:t>
            </w: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705AA" w:rsidRPr="00F3089D" w:rsidRDefault="00E705AA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>“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Tenure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track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” zum Kündigungsschutz,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Sonderheft zum 70. </w:t>
            </w:r>
            <w:proofErr w:type="spellStart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>Geburtstag</w:t>
            </w:r>
            <w:proofErr w:type="spellEnd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 von Michael </w:t>
            </w:r>
            <w:proofErr w:type="spellStart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>Kittner</w:t>
            </w:r>
            <w:proofErr w:type="spellEnd"/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85002E"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2011, </w:t>
            </w:r>
            <w:r w:rsidRP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Sn.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407 – 410. </w:t>
            </w: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047E9D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Good Faith in the Law of the Employment Relationship: Germany,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Comparative Labor Law &amp; Policy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>Band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3, </w:t>
            </w:r>
            <w:r w:rsidR="0085002E" w:rsidRPr="00F3089D">
              <w:rPr>
                <w:rFonts w:eastAsia="Times New Roman"/>
                <w:sz w:val="24"/>
                <w:szCs w:val="24"/>
                <w:lang w:val="en-US" w:eastAsia="de-DE"/>
              </w:rPr>
              <w:t>2011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proofErr w:type="gram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Sn</w:t>
            </w:r>
            <w:proofErr w:type="gram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. 603-629.</w:t>
            </w:r>
          </w:p>
          <w:p w:rsidR="00047E9D" w:rsidRPr="00F3089D" w:rsidRDefault="00047E9D" w:rsidP="00E849D6">
            <w:pPr>
              <w:jc w:val="both"/>
              <w:rPr>
                <w:rFonts w:eastAsia="Times New Roman"/>
                <w:sz w:val="24"/>
                <w:szCs w:val="24"/>
                <w:highlight w:val="green"/>
                <w:lang w:val="en-US" w:eastAsia="de-DE"/>
              </w:rPr>
            </w:pPr>
          </w:p>
        </w:tc>
      </w:tr>
      <w:tr w:rsidR="00E849D6" w:rsidRPr="0085002E" w:rsidTr="00EB0EB5">
        <w:trPr>
          <w:tblCellSpacing w:w="0" w:type="dxa"/>
        </w:trPr>
        <w:tc>
          <w:tcPr>
            <w:tcW w:w="2013" w:type="dxa"/>
            <w:hideMark/>
          </w:tcPr>
          <w:p w:rsidR="00E849D6" w:rsidRPr="00F3089D" w:rsidRDefault="00E849D6" w:rsidP="00AA603F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2010</w:t>
            </w:r>
          </w:p>
        </w:tc>
        <w:tc>
          <w:tcPr>
            <w:tcW w:w="7057" w:type="dxa"/>
            <w:hideMark/>
          </w:tcPr>
          <w:p w:rsidR="002B7614" w:rsidRPr="00F3089D" w:rsidRDefault="002B7614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Policy and Fixed-Term Employment Contracts in Germany,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Japan Institute for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Policy and Training Report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Nr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. 9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, 2010, Sn. 23-41 (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derselbe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Beitrag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in: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Blanpain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/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Nakakubo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/Araki (</w:t>
            </w:r>
            <w:proofErr w:type="spellStart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Hrsg</w:t>
            </w:r>
            <w:proofErr w:type="spellEnd"/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.),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Regulation of Fixed-Term-Employment Contracts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</w:t>
            </w:r>
            <w:r w:rsidR="00B662E9" w:rsidRPr="00773AFF">
              <w:rPr>
                <w:rStyle w:val="Untertitel1"/>
                <w:i/>
                <w:sz w:val="24"/>
                <w:szCs w:val="24"/>
                <w:lang w:val="en-US"/>
              </w:rPr>
              <w:t xml:space="preserve"> A Comparative Overview</w:t>
            </w:r>
            <w:r w:rsidR="00B662E9">
              <w:rPr>
                <w:rStyle w:val="Untertitel1"/>
                <w:i/>
                <w:sz w:val="24"/>
                <w:szCs w:val="24"/>
                <w:lang w:val="en-US"/>
              </w:rPr>
              <w:t xml:space="preserve">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Kluwer Law International 2010, </w:t>
            </w:r>
            <w:r w:rsidR="00961E10" w:rsidRPr="00F3089D">
              <w:rPr>
                <w:rFonts w:eastAsia="Times New Roman"/>
                <w:sz w:val="24"/>
                <w:szCs w:val="24"/>
                <w:lang w:val="en-US" w:eastAsia="de-DE"/>
              </w:rPr>
              <w:t>23-41</w:t>
            </w:r>
            <w:r w:rsidR="00835EE0" w:rsidRPr="00F3089D">
              <w:rPr>
                <w:rFonts w:eastAsia="Times New Roman"/>
                <w:sz w:val="24"/>
                <w:szCs w:val="24"/>
                <w:lang w:val="en-US"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</w:p>
          <w:p w:rsidR="002B7614" w:rsidRPr="00F3089D" w:rsidRDefault="002B7614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2B7614" w:rsidRPr="00F3089D" w:rsidRDefault="00F06D4B" w:rsidP="002B761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Recent developments in the area of “atypical e</w:t>
            </w:r>
            <w:r w:rsidR="002B7614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mployment”, in: </w:t>
            </w:r>
            <w:r w:rsidR="0085002E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European Labor Law Journal</w:t>
            </w:r>
            <w:r w:rsidR="002B7614"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Vol. 1, </w:t>
            </w:r>
            <w:r w:rsidR="0085002E" w:rsidRPr="00F3089D">
              <w:rPr>
                <w:rFonts w:eastAsia="Times New Roman"/>
                <w:sz w:val="24"/>
                <w:szCs w:val="24"/>
                <w:lang w:val="en-US" w:eastAsia="de-DE"/>
              </w:rPr>
              <w:t>2010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2B7614" w:rsidRPr="00F3089D">
              <w:rPr>
                <w:rFonts w:eastAsia="Times New Roman"/>
                <w:sz w:val="24"/>
                <w:szCs w:val="24"/>
                <w:lang w:val="en-US" w:eastAsia="de-DE"/>
              </w:rPr>
              <w:t>Sn. 517-520.</w:t>
            </w:r>
          </w:p>
          <w:p w:rsidR="00281BD2" w:rsidRPr="00F3089D" w:rsidRDefault="00281BD2" w:rsidP="005D33D4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490B5E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490B5E" w:rsidRPr="00F3089D" w:rsidRDefault="00AA603F" w:rsidP="00AA603F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</w:t>
            </w:r>
            <w:r w:rsidR="00490B5E"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7057" w:type="dxa"/>
            <w:hideMark/>
          </w:tcPr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Tarifvertrags- und betriebsverfassungsrechtliche Implikationen und Defizite von Mitarbeiterkapitalbeteiligungen,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(BB-Spezial)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27-30.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Richtlinie des Europäischen Parlaments und des Rates über Leiharbeit,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Sozial- und Arbeitsrecht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207-213.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Codetermination at Board Level in Germany,</w:t>
            </w:r>
            <w:r w:rsidR="00BD389F">
              <w:rPr>
                <w:rFonts w:eastAsia="Times New Roman"/>
                <w:sz w:val="24"/>
                <w:szCs w:val="24"/>
                <w:lang w:val="en-US"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European Company Law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922EA7" w:rsidRPr="00F3089D">
              <w:rPr>
                <w:rFonts w:eastAsia="Times New Roman"/>
                <w:sz w:val="24"/>
                <w:szCs w:val="24"/>
                <w:lang w:val="en-US" w:eastAsia="de-DE"/>
              </w:rPr>
              <w:t>Band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6, </w:t>
            </w:r>
            <w:r w:rsidR="00922EA7" w:rsidRPr="00F3089D">
              <w:rPr>
                <w:rFonts w:eastAsia="Times New Roman"/>
                <w:sz w:val="24"/>
                <w:szCs w:val="24"/>
                <w:lang w:val="en-US" w:eastAsia="de-DE"/>
              </w:rPr>
              <w:t>Heft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2, 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2009, 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Sn. 62-67.</w:t>
            </w: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 EBR-Richtlinie 2009/38/EG,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Kritische Vierteljahresschrift für Gesetzgebung und Rechtswissenschaft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KritV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400-412.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85002E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7057" w:type="dxa"/>
            <w:hideMark/>
          </w:tcPr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A Restatement of the Law with Respect to </w:t>
            </w:r>
            <w:proofErr w:type="spellStart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</w:t>
            </w:r>
            <w:r w:rsidR="006117FD"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in: </w:t>
            </w:r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International Journal of Comparative </w:t>
            </w:r>
            <w:proofErr w:type="spellStart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BF0CA4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Industrial Relations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 xml:space="preserve">, Band 24, Heft 4, </w:t>
            </w:r>
            <w:r w:rsidR="0085002E" w:rsidRPr="00BF0CA4">
              <w:rPr>
                <w:rFonts w:eastAsia="Times New Roman"/>
                <w:sz w:val="24"/>
                <w:szCs w:val="24"/>
                <w:lang w:val="en-US" w:eastAsia="de-DE"/>
              </w:rPr>
              <w:t>2008</w:t>
            </w:r>
            <w:r w:rsidR="0085002E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Pr="00BF0CA4">
              <w:rPr>
                <w:rFonts w:eastAsia="Times New Roman"/>
                <w:sz w:val="24"/>
                <w:szCs w:val="24"/>
                <w:lang w:val="en-US" w:eastAsia="de-DE"/>
              </w:rPr>
              <w:t>Sn. 451–467.</w:t>
            </w:r>
          </w:p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BF0CA4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arbeitsrechtliche Schutz von „Whistleblowern“ – Lehren aus dem deutschen Recht,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Pécsi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Munkajogi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Közlemények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(PMJK)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2008/2,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39-51.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in den Jahren 2006/2007,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2682 - 2690 (zusammen mit RA Patrick Hoffmann,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RAin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Neues zur Gemeinschaftsrechtskonformität des Arbeitnehmer-Entsendegesetzes – Urteil des EuGH vom 18.7.2007 Kommi</w:t>
            </w:r>
            <w:r w:rsidR="00E20D90">
              <w:rPr>
                <w:rFonts w:eastAsia="Times New Roman"/>
                <w:sz w:val="24"/>
                <w:szCs w:val="24"/>
                <w:lang w:eastAsia="de-DE"/>
              </w:rPr>
              <w:t>ssion/Bundesrepublik Deutschland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in</w:t>
            </w:r>
            <w:r w:rsidR="00BD389F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3, </w:t>
            </w:r>
            <w:r w:rsidR="00E20D90" w:rsidRPr="00F3089D">
              <w:rPr>
                <w:rFonts w:eastAsia="Times New Roman"/>
                <w:sz w:val="24"/>
                <w:szCs w:val="24"/>
                <w:lang w:eastAsia="de-DE"/>
              </w:rPr>
              <w:t>2008</w:t>
            </w:r>
            <w:r w:rsidR="00E20D90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367-374. 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Tariflandschaft im Umbruch – eine Betrachtung aus der Perspektive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Sozialer Fortschritt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57, Heft 6,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137 - 144. 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Personenbedingte Kündigung und Wegfall der Sozialversicherungsfreiheit,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1,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17-20.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Fairness und Arbeit – eine Betrachtung aus der Perspektive des Arbeitsrechts;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Sozialer Fortschritt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Heft 3,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55-59.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Neues zur Gemeinschaftsrechtskonformität des Arbeitnehmer-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sendegesetzes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367 – 374.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neue Arbeitsvertragsgesetz der Volksrepublik China,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Vergleichende Rechtswissenschaft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(zusammen mit Professor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Yongxin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Wu),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ZVglRWiss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</w:t>
            </w:r>
            <w:r w:rsidR="00E20D90">
              <w:rPr>
                <w:rFonts w:eastAsia="Times New Roman"/>
                <w:sz w:val="24"/>
                <w:szCs w:val="24"/>
                <w:lang w:eastAsia="de-DE"/>
              </w:rPr>
              <w:t>07)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2008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231-260.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Arbeitsmarkt und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Flexicurity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-Strategien – eine europäische Herausforderung,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8/2008, S. 497.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Europäische Kommission und Arbeitsvergleichung,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Heft 4, 2008, S. 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2007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Kündigungsschutz und Befristungskontrolle: Optionen für eine Flexibilisierung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Arbeitsmarktforschung (ZAF) – Journal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for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Labour Market Research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99-114.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Überlegungen zur Fortentwicklung des deutschen Arbeitsrechts – Diskussion im Inland, Anstöße aus dem Ausland,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76 – 83.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Annahmeverzug und Schadensersatz bei Schwerbehinderung des Arbeitnehmers,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72 – 76.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Entwicklungen im Europäischen Arbeitsrecht,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289 – 296.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Grünbuch der Kommission zur Modernisierung des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197 – 204.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Ein Grünbuch aus Brüssel,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Betriebs-Berater(BB)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2007, Heft 22, S. I.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Bewertung von Altersgrenzen nach europäischem 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359 – 362.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Neuere Entwicklungen im deutschen Arbeitsrecht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Doitsu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Rodoho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saikinno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Tenkai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Gakushuin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Review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of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Law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and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Politics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Band 42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September 2006 Nr. 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1 - 18 (in japanischer Sprache; übersetzt von Professor Yoko Hashimoto).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im Jahre 2005,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2525 - 2532 (zusammen mit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Gesa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Hanssen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u. Ass.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Anita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Palonka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Beschäftigungssituation älterer Arbeitnehmer als Herausforderung für den arbeitsrechtlichen Gesetzgeber,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Rechtspolitik (ZRP)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118 – 121.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2005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Rechtsprechung zum Betriebsübergang nach § 613a BGB im Jahre 2004,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="00E20D90">
              <w:rPr>
                <w:rFonts w:eastAsia="Times New Roman"/>
                <w:i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1445 – 1453.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Europarechtliche Schranken für die Befristung von Arbeitsverträgen mit älteren Arbeitnehmern?, in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: 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583 – 587.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Arbeitsrecht zwischen Markt und gesellschaftspolitischen Herausforderungen,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Rechtspolitik (ZRP)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142 - 146.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Allgemeine Diskriminierungsrichtlinien,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Der Personalrat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PersR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407 – 410.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Tarifvertragsrecht in den Niederlanden und Deutschland im Vergleich,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57 -72.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Arbeitsrecht und Arbeitsbeziehungen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Gesundheits- und Sozialpolitik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GuS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39 – 43.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Anspruch auf Teilzeitarbeit und seine gerichtliche Durchsetzung in den Niederlanden, Frankreich, Großbritannien, Schweden, Dänemark und der Bundesrepublik Deutschland (zusammen mit Hans Friedrich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Eisemann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Matine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LeFriant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Lady Jane Liddington, Ann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Numhauser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-Henning, Lynn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Roseberrry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Reinhard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Schinz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129 – 141.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Omtrent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bestaan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en de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rechtsgrondslag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Vredesplicht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Europese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Collectieve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arbeids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)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overeenkomsten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(Zum Bestehen und zur Rechtsgrundlage einer Friedenspflicht in Europäischen Tarifverträgen),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Sociaal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Recht (Niederlande)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152 – 155.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Die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lebensverlaufbezogene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 Politik in den Niederlanden: Ein Beispiel für Deutschland?,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Sozialer Fortschritt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173 – 178.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Allgemeine Antidiskriminierungsrichtlinien,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 im Betrieb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AiB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)/Der Personalrat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Gemeinsames Schwerpunktheft 11/2004,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650 – 654.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soziale Dialog auf Europäischer Ebene,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Europäisches Arbeits- und Sozialrecht (ZESAR)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443 – 451.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2003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Freistellungsrecht des Arbeitgebers – Anwendung tarifvertraglicher Vorruhestandsregelung,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99 – 101.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Temporary Agency Work in Germany: Reflections on Recent Developments,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The International Journal of Comparative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Law and Industrial Relations,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2003, Sn. 387 – 404.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Spannungsverhältnis von Tarifvertrag und Gesetz beim Grundsatz der Entgeltgleichheit im neuen AÜG,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2175 – 2178.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„Bausteine“ einer Flexibilisierung des deutschen Arbeitsrechts aus rechtsvergleichender Sicht am Beispiel der Niederlande,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ZfA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42.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Neuregelung der Arbeitnehmerüberlassung in Deutschland im Lichte des niederländischen 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265 – 272.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Abgrenzung des Beseitigungsanspruchs gem. § 1004 Abs. 1 S. 1 BGB vom Schadensersatz wegen unerlaubter Handlung,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Versicherungsrecht, Haftungs- und Schadensrecht (VersR)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1205 – 1213.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Ausschluss der Wissenszurechnung gem. § 166 Abs. 1 BGB bei Bevollmächtigung einer Person aus dem „Lager“ des Vertragspartners?,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Arbeitsblätter (JA)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511 – 517.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Problematik einer Verlagerung des Verwendungsrisikos bei der Anmietung von Ladenlokalen in einem Einkaufszentrum,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Miet- und Raumrecht (ZMR)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493 – 499.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Kalkulationsirrtum zwischen Anfechtung und unzulässiger Rechtsausübung – zugleich Besprechung der Entscheidung des BGH v. 7. 7. 1998 – X ZR 17/97,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Schulung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 – 20.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6C725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Konsolidierung des Betriebsbegriffs in der Rechtsprechung von EuGH und BAG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Arbeitsrecht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ZfA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),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377 – 395.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Mitwirkendes Verschulden i. S. d. § 254 BGB durch Abschluss eines Vertrags mit dem Schädiger?,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Rundschau (JR)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 – 6.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Risikoverteilung zwischen Auftraggeber und Makler bei „fehlerhaftem“ Hauptvertrag,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Miet- und Wohnungsrecht (NZM)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453 – 458.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2000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Probleme der Tarifgebundenheit bei Normen über gemeinsame Einrichtungen der Tarifvertragsparteien,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81 – 87.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Scheingeschäft des Vertreters gem. § 117 BGB und Missbrauch der Vertretungsmacht,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Ausbildung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292 – 296.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961BF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Firmentarifvertrag und verbandstarifvertragliche</w:t>
            </w:r>
            <w:r w:rsidR="00961BFE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Meistbegünstigungs</w:t>
            </w:r>
            <w:r w:rsidR="00961BFE">
              <w:rPr>
                <w:rFonts w:eastAsia="Times New Roman"/>
                <w:sz w:val="24"/>
                <w:szCs w:val="24"/>
                <w:lang w:eastAsia="de-DE"/>
              </w:rPr>
              <w:t>-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klausel,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341 – 347.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Entschädigungsanspruch des Vermieters bei verspäteter Rückgabe der Mietsache durch den Mieter,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Miet- und Raumrecht (ZMR)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69 – 72.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Gesetzlicher Anspruch auf Teilzeitbeschäftigung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583 – 585.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Dogmatik der so genannten „ehebezogenen Zuwendungen“,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das gesamte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FamRZ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453 – 461.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006B57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Gesetz zur Beschränkung der Haftung Minderjähriger zwischen Selbstbestimmung und notwendigem Schutz des Minderjährigen,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Kritische Vierteljahresschrift für Gesetzgebung und Rechtswissenschaft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KritV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 – 29.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 EG-Richtlinie zum Verbot der Diskriminierung aus rassischen oder ethnischen Gründen im Arbeitsverhältnis,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Wirtschaftsrecht (ZIP)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2151 – 2155.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Entwicklungen in der Rechtsprechung des BGH zur „ehebezogenen Zuwendung“,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Deutsches und Europäisches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DEuFamRZ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171 – 176.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Tarifrechtliche Probleme des Gemeinschaftsbetriebs mehrerer Unternehmen,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841 – 846.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Zum Anwendungsbereich des § 278 BGB im Verhältnis von Werkunternehmer und Besteller,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Versicherungsrecht, Haftungs- und Schadensrecht (VersR)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1202 – 1208.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8A4B8D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Rechtsnatur der Bezugnahme auf einen Tarifvertrag nach deutschem 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Zeitschrift für Tarif-, Arbeits- und Sozialrecht des öffentlichen Dienstes (ZTR)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540 – 546. 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Unterbrechung der Verjährung von Gewährleistungsansprüchen bei erfolglosen Nachbesserungsversuchen des Schuldners – zugleich Besprechung der Entscheidung des BGH v. 2. 6.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2472 – 2474.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Die Änderung der Richtlinie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448 - 463 (zusammen mit Anke Johanns).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1998</w:t>
            </w:r>
          </w:p>
        </w:tc>
        <w:tc>
          <w:tcPr>
            <w:tcW w:w="7057" w:type="dxa"/>
            <w:hideMark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Bedeutung des EuGH für das Arbeitsrecht in den Mitgliedstaaten – Erfahrungen und Perspektiven,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Publicationes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Universitatis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Miskolciensis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– Sectio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Juridica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et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Politica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Bd. 14, Miskolc (Ungarn), 1998,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285 – 300.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85002E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A comment on the South-African Law on Strikes and Lock-outs from a German Perspective, in: </w:t>
            </w:r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Industrial Law Journal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, Durban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Südafrika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) 1997, Sn. 214 – 233.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057" w:type="dxa"/>
            <w:hideMark/>
          </w:tcPr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Stand des europäischen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294 – 302.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Richtlinienvorschlag der EU zum Betriebsübergang,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52 – 53.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Rechtsfragen des Annahmeverzugs bei Kündigung durch den Arbeitgeber,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Neue Zeitschrift für Arbeitsrecht (NZA)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151 – 158.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Betriebsübergang durch „Funktionsnachfolge“?,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528 – 531.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európai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munkajog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helyzete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(Der Stand des Europäischen Arbeitsrechts),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Magyar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Jog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(Ungarn)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174 – 179 (übersetzt von H. Todt).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Zur mittelbaren Diskriminierung von Frauen in der Rechtsprechung von EuGH und deutschen Gerichten,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Europarecht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97 – 107.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85002E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so genannte „mittelbare Arbeitsverhältnis“,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153 – 162.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neuere Gewerkschaftsgesetzgebung in Großbritannien und die Internationale Arbeitsorganisation,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Das 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(Österreich)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515 – 519.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Wandel des britischen Arbeitsrechts,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1993,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317 - 324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zugl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Besprechung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von Lord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Wedderburn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Employment Rights in Britain and Europe – Selected Papers 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Lawrence and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Wishart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in association with the Institute of Employment Rights London, London, 1991).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Fragerecht des Arbeitgebers im Spannungsfeld von Schutz des Arbeitnehmers und Gemeinwohlbindung,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Juristische Rundschau (JR)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365 – 369.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aktuelle Streikrecht im öffentlichen Dienst Großbritanniens,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311 – 314.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Entwurf eines Model Uniform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Employment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Termination Act in den USA,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982 – 986.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1991</w:t>
            </w:r>
          </w:p>
        </w:tc>
        <w:tc>
          <w:tcPr>
            <w:tcW w:w="7057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Umdeutung einer kompetenzwidrigen Betriebsvereinbarung,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1329 - 1337 (zusammen mit Barbara Veit).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Der Verhandlungsanspruch tariffähiger Verbände und das Bestehen schuldrechtlicher Dauerbeziehungen zwischen den Tarifvertragsparteien,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 und 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334 – 340.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Änderungen im Arbeitsrecht des Vereinigten Königreichs durch den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Employment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Act 1989,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49 – 50.</w:t>
            </w: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E705AA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Streik und Streikrecht im Nachkriegsengland,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Archiv für Sozialgeschichte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Band 31, Bonn,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275 – 296.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  <w:hideMark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7057" w:type="dxa"/>
            <w:hideMark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Neuere Tendenzen im Kündigungsschutzrecht der USA,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367 – 380.</w:t>
            </w: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Reform der Gleichbehandlungsgesetzgebung im Arbeitsrecht der Niederlande,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Internationalen Wirtschaft – Betriebs-Berater International (RIW)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901 – 904.</w:t>
            </w: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7057" w:type="dxa"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Das Recht des Betriebsübergangs in Großbritannien und Nordirland im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Prozeß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der Anpassung an das Europäische Gemeinschaftsrecht,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1989,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313 – 326.</w:t>
            </w:r>
          </w:p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DD4553" w:rsidRPr="00F3089D" w:rsidRDefault="00DD4553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Die Vorarbeiten zu einer Reform des Kündigungsrechts in den Niederlanden,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169 - 175 (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zugl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Besprechung des Bandes „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Herziening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het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ontslagrecht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“,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Geschriften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van de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Vereniging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voor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Arbeidsrecht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Nr. 14,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Samsom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H. D.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Tjeenk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Willink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Alphen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an den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Rijn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1989).</w:t>
            </w:r>
          </w:p>
        </w:tc>
      </w:tr>
      <w:tr w:rsidR="00DD4553" w:rsidRPr="00F3089D" w:rsidTr="00EB0EB5">
        <w:trPr>
          <w:tblCellSpacing w:w="0" w:type="dxa"/>
        </w:trPr>
        <w:tc>
          <w:tcPr>
            <w:tcW w:w="2013" w:type="dxa"/>
          </w:tcPr>
          <w:p w:rsidR="00DD4553" w:rsidRPr="00F3089D" w:rsidRDefault="00DD4553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7057" w:type="dxa"/>
          </w:tcPr>
          <w:p w:rsidR="00DD4553" w:rsidRPr="00F3089D" w:rsidRDefault="00DD4553" w:rsidP="00B0228C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DE00F0">
      <w:pPr>
        <w:jc w:val="both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V. Entscheidungsrezensionen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Arbeitsrecht Deutschland</w:t>
      </w:r>
    </w:p>
    <w:p w:rsidR="00490B5E" w:rsidRPr="00F3089D" w:rsidRDefault="00490B5E" w:rsidP="00490B5E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050"/>
      </w:tblGrid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im Erscheinen:</w:t>
            </w:r>
          </w:p>
        </w:tc>
        <w:tc>
          <w:tcPr>
            <w:tcW w:w="7050" w:type="dxa"/>
            <w:hideMark/>
          </w:tcPr>
          <w:p w:rsidR="008E5900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18. Oktober 2006 – 10 AZR 576/05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(AP), Nachschlagewerk des Bundesarbeitsgerichts (Sammlung der Entscheidungen des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lastRenderedPageBreak/>
              <w:t>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im Erscheinen.</w:t>
            </w:r>
            <w:r w:rsidR="008E5900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F85AE6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F85AE6" w:rsidRPr="00F3089D" w:rsidRDefault="00F85AE6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2008</w:t>
            </w:r>
          </w:p>
        </w:tc>
        <w:tc>
          <w:tcPr>
            <w:tcW w:w="7050" w:type="dxa"/>
            <w:hideMark/>
          </w:tcPr>
          <w:p w:rsidR="00F85AE6" w:rsidRPr="00F3089D" w:rsidRDefault="00F85AE6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17. Juni 2008 – 3 AZR 409/06 -,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2008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Nachschlagewerk des Bundesarbeitsgerichts (Sammlung der Entscheidungen des Bundesarbeitsgerichts, der Landesarbeitsgerichte und Arbeitsgerichte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), AP Nr. 136 zu Art 9 GG </w:t>
            </w:r>
          </w:p>
          <w:p w:rsidR="000055E5" w:rsidRPr="00F3089D" w:rsidRDefault="000055E5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0055E5" w:rsidRPr="00F3089D" w:rsidRDefault="000055E5" w:rsidP="000055E5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18. Januar 2007 –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: 2 AZR 731/05,</w:t>
            </w:r>
            <w:r w:rsidR="00CA021B">
              <w:rPr>
                <w:rFonts w:eastAsia="Times New Roman"/>
                <w:sz w:val="24"/>
                <w:szCs w:val="24"/>
                <w:lang w:eastAsia="de-DE"/>
              </w:rPr>
              <w:t xml:space="preserve"> in: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2008,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17-20.</w:t>
            </w:r>
          </w:p>
          <w:p w:rsidR="000055E5" w:rsidRPr="00F3089D" w:rsidRDefault="000055E5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85AE6" w:rsidRPr="00F3089D" w:rsidRDefault="00F85AE6" w:rsidP="00F85AE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8. März 2006 – 10 AZR 129/05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 2007,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AP Nr. 3 zu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§ 1 TVG Tarifverträge: Telekom.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4. Oktober 2005 –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Az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: 9 AZR 632/04 –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2007,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72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76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23. März 2005 – 4 AZR 203/04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AP Nr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29 zu § 4 TVG Tarifkonkurrenz.</w:t>
            </w:r>
          </w:p>
          <w:p w:rsidR="000F18D0" w:rsidRPr="00F3089D" w:rsidRDefault="000F18D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22. März 2005 – 1 ABR 64/03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proofErr w:type="spellStart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312 - 316.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7050" w:type="dxa"/>
            <w:hideMark/>
          </w:tcPr>
          <w:p w:rsidR="00570010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24. Juni 2004 – 6 AZR 383/03 – (Ausbildungskosten – Erstattung bei Arbeitgeberkündigung),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 120 - 123.</w:t>
            </w:r>
          </w:p>
          <w:p w:rsidR="00570010" w:rsidRPr="00F3089D" w:rsidRDefault="0057001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9. Juli 2003 – 5 AZR 305/02 – Voraussetzungen für den Weiterbeschäftigungsanspruch nach § 102 Abs. 3 Nr. 1 BetrVG,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)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147 - 149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16. März 2004 – 9 AZR 323/03 – 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</w:t>
            </w:r>
            <w:r w:rsidR="006604B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2004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AP Nr. 10 zu § 8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TzBfG</w:t>
            </w:r>
            <w:proofErr w:type="spellEnd"/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1. August 2001 – 4 AZR 82/00 – (Betriebsübergang, Betriebsvereinbarung als ablösende Regelung),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Betriebs-Berater (BB)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2002,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206 - 207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Anmerkung zu BAG v. 30. Oktober 2001 – 1 AZR 65/01 – (Verjährung des Anspruchs auf eine Sozialplanabfindung),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Juristische Rundschau (JR)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2002, S. 351 - 352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2001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21. Februar 2001 – 4 AZR 18/00 – (Tarifablösung nach Betriebsübergang nur bei beiderseitiger Tarifgebundenheit der Arbeitsvertragsparteien),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Betrie</w:t>
            </w:r>
            <w:r w:rsidR="003F7583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bs-Berater (BB)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S. 1853.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19. Juni 2001 – 1 ABR 25/00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AP Nr. 35 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zu § 99 BetrVG 1972 Einstellung.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26. April 2000 – 4 AZR 177/99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Arbeitsgerichte),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AP Nr. 1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6 zu § 4 TVG Verdienstsicherung.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30. August 2000 – 4 AZR 581/99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Arbeitsrechtliche Praxis (AP), Nachschlagewerk des Bundesarbeitsgerichts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(Sammlung der Entscheidungen des Bundesarbeitsgerichts, der Landesarbeitsgerichte und Arbeitsgerichte), AP Nr. 12 zu § 1 TVG Bezugnahme auf Tarifvertrag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E00F0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rHeight w:val="1980"/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ArbG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Berlin v. 26. März 1998 – 5 BV 5735/98 (Zustimmung des Betriebsrats zur Durchführung einer Betriebsänderung nach § 122 InsO),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Deutsche Zeitschrift für Wirtschafts- und Insolvenzrec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DZWiR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86786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 1999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244 – 245.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EF18A1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BGH v. 14. Juli 1999 – XII ZR 215/97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Monatsschrift des deutschen 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hts (MDR)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1999,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1494 – 1495.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917D29" w:rsidRPr="00F3089D" w:rsidRDefault="00BE39AA" w:rsidP="00917D29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9. November 1999 – 3 AZR 690/98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</w:t>
            </w:r>
            <w:r w:rsidR="006604BD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 1999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AP Nr</w:t>
            </w:r>
            <w:r w:rsidR="00EF18A1" w:rsidRPr="00F3089D">
              <w:rPr>
                <w:rFonts w:eastAsia="Times New Roman"/>
                <w:sz w:val="24"/>
                <w:szCs w:val="24"/>
                <w:lang w:eastAsia="de-DE"/>
              </w:rPr>
              <w:t>. 5 zu § 3 TVG Verbandsaustritt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E705AA" w:rsidRPr="00F3089D" w:rsidRDefault="00E705AA" w:rsidP="00917D29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</w:t>
            </w:r>
            <w:r w:rsidR="00BE39AA"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997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8. August 1996 – 6 AZR 771/93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1997, AP Nr. 22 zu Art. 48 EWG-Vertrag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705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Mitbestimmung beim Einsatz von Fremdpersonal – Abgrenzung Arbeitnehmerüberlassung und Dienst- und Werkvertrag, Anmerkung zu BAG v. 18. Oktober 1994 – 1 ABR 9/94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ungen (SAE)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160 – 165.</w:t>
            </w:r>
          </w:p>
          <w:p w:rsidR="00490B5E" w:rsidRPr="00F3089D" w:rsidRDefault="00490B5E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lastRenderedPageBreak/>
              <w:t xml:space="preserve">Anmerkung zu BAG v. 27. Februar 2002 – 9 AZR 562/00 – (Freistellungsrecht des Arbeitgebers, Berufsausübungsfreiheit, Tarifautonomie),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Sammlung Arbeitsrechtlicher Entscheidungen (SAE)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99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101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2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1994</w:t>
            </w:r>
          </w:p>
        </w:tc>
        <w:tc>
          <w:tcPr>
            <w:tcW w:w="7050" w:type="dxa"/>
            <w:hideMark/>
          </w:tcPr>
          <w:p w:rsidR="000055E5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BAG v. 19. Mai 1993 – 2 AZR 584/92 –,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Arbeitsrechtliche Praxis (AP), Nachschlagewerk des Bundesarbeitsgerichts (Sammlung der Entscheidungen des Bundesarbeitsgerichts, der Landesarbeitsgerichte und Arbeitsgerichte)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1994, AP Nr. 31 zu § 2 KSchG 1969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490B5E" w:rsidRPr="00F3089D" w:rsidRDefault="00490B5E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3"/>
        <w:rPr>
          <w:rFonts w:eastAsia="Times New Roman"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Arbeitsrecht Europa/International</w:t>
      </w:r>
      <w:r w:rsidRPr="00F3089D">
        <w:rPr>
          <w:rFonts w:eastAsia="Times New Roman"/>
          <w:sz w:val="24"/>
          <w:szCs w:val="24"/>
          <w:u w:val="single"/>
          <w:lang w:eastAsia="de-DE"/>
        </w:rPr>
        <w:t> </w:t>
      </w:r>
    </w:p>
    <w:p w:rsidR="00490B5E" w:rsidRPr="00F3089D" w:rsidRDefault="00490B5E" w:rsidP="00490B5E">
      <w:pPr>
        <w:jc w:val="both"/>
        <w:outlineLvl w:val="3"/>
        <w:rPr>
          <w:rFonts w:eastAsia="Times New Roman"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4"/>
      </w:tblGrid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EuGH v. 13. Januar 2004 – C-440/00 – Gesamtbetriebsrat der Kühne und Nagel AG &amp; Co. KG – Auskunftspflichten der zentralen Leitung bei Errichtung eines Europäischen Betriebsrats – The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obligation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disclose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information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– A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central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management´s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duty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where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a European Works Council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is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established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The European Legal Forum (ELF)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199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204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Anmerkung zu EuGH v. 7. März 1996 – verb.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Rsn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C-171/94 u. C-172/94 – (Albert Merckx u. Patrick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Neuhuys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/Ford Motor Company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Belgium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SA),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 Zeitschrift für Wirtschaftsrecht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EuZW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215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216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Mittelbare Diskriminierung und § 23 Abs. 1 KSchG – Anmerkung zur Entscheidung des EuGH v. 30. November 1993,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Europäisches Wirtschafts- und Steuerrecht – Betriebs-Berater für Europarecht (BB-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EuR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1994,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47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50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Buchrezensionen</w:t>
      </w:r>
    </w:p>
    <w:p w:rsidR="008D0FC6" w:rsidRPr="00F3089D" w:rsidRDefault="008D0FC6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8D0FC6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8D0FC6" w:rsidRPr="00F3089D" w:rsidRDefault="008D0FC6" w:rsidP="00490B5E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7380" w:type="dxa"/>
            <w:hideMark/>
          </w:tcPr>
          <w:p w:rsidR="008D0FC6" w:rsidRDefault="008D0FC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Creutzfeldt, Malte; Hanau, Peter;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Wißmann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, Helmut und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Thüsing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, Gregor (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Hrgs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>.): Festschrift für Klaus Bepler zum 65. Geburtstag, Arbeitsgerichtsbarkeit und Wissenschaft, in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8D0FC6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RdA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) 2013, 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 xml:space="preserve">S.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127.</w:t>
            </w:r>
          </w:p>
          <w:p w:rsidR="008D0FC6" w:rsidRPr="00F3089D" w:rsidRDefault="008D0FC6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Mauthner, Annemarie: Die Massenentlassungsrichtlinie der EG und ihre Bedeutung für das deutsche Massenentlassungsrecht,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</w:t>
            </w:r>
            <w:r w:rsidR="00940AC7">
              <w:rPr>
                <w:rFonts w:eastAsia="Times New Roman"/>
                <w:sz w:val="24"/>
                <w:szCs w:val="24"/>
                <w:lang w:eastAsia="de-DE"/>
              </w:rPr>
              <w:t xml:space="preserve">S.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59.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85002E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Ulrich Zachert: Beendigungstatbestände im internationalen Vergleich – eine normative und empirische Bestandsaufnahme, Nomos-Verlagsgesellschaft, Baden-Baden, 2004,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Arbeit und 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AuR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2005,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107 – 108.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Malmberg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, Jonas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u.a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. (Hg.); Effective Enforcement of EC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>Labour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Law, Kluwer Law International, The Hague, in: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Recht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der 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Arbeit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val="en-US"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val="en-US" w:eastAsia="de-DE"/>
              </w:rPr>
              <w:t xml:space="preserve"> 2005, S. 319</w:t>
            </w:r>
            <w:r w:rsidR="002B61AA" w:rsidRPr="00F3089D"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2004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Frank Moll: Mitgliedschaft im Arbeitgeberverband „ohne Tarifbindung“, Schriften zum Sozial- und Arbeitsrecht, Bd. 179, Verlag Duncker &amp; Humblot,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2004, S. 254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Jens Jeep: Ehegattenzuwendungen im Zugewinnausgleich – Rehabilitation einer gesetzlichen Regelung, Verlag Duncker &amp; Humblot, Berlin, 2000,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das gesamte Familienrecht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FamRZ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750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751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Thomas Blanke: Europäisches Betriebsräte-Gesetz – EBRG-Kommentar, Nomos Verlagsgesellschaft/Hans Böckler Stiftung, Baden-Baden, 1. Auflage,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enstes (ZTR)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S. 458 – 459.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Thomas Klebe/Peter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Wedde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/Martin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Wolmerath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(Hrsg.): Recht und soziale Arbeitswelt – Festschrift für Wolfgang Däubler zum 60. Geburtstag, Bund Verlag, Frankfurt am Main, 1999,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2000, 357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358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Hartmut Oetker/Ulrich Preis (Hrsg.): Europäisches Arbeits- und Sozialrecht EAS - Rechtsvorschriften, Systematische Darstellungen, Entscheidungssammlung,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Forkel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Verlag, Heidelberg,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1998, S. 49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7380" w:type="dxa"/>
            <w:hideMark/>
          </w:tcPr>
          <w:p w:rsidR="002B61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Werner Weidenfeld (Hrsg.): Maastricht in der Analyse – Strategien und Optionen für Europa, Verlag Bertelsmann Stiftung, Gütersloh, 2. Auflage, 1995,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</w:t>
            </w:r>
            <w:proofErr w:type="spellStart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 251 – 252.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Michael Schmidt: Die Richtlinienvorschläge der Kommission der Europäischen Gemeinschaften zu den atypischen Arbeitsverhältnissen, Nomos Verlagsgesellschaft, Baden-Baden, 1992,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ht der Arbeit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S. 51.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Bruno Köbele/Gerhard Leuschner (Hrsg.): Dokumentation der Konferenz „Europäischer Arbeitsmarkt – Grenzenlos mobil“, 6. bis 8. März 1995 in Bonn, Nomos Verlagsgesellschaft, Baden-Baden, 1995,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Tarif-, Arbeits- und Sozialrecht des öffentlichen Dienstes (ZTR)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1996, S. 192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Christoph Weber: Das aufgespaltene Arbeitsverhältnis, Verlag Duncker &amp; Humblot, Berlin, 1992,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170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172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Andreas Grobe: Demokratie und Gewerkschaften in England – Die Gewerkschaftsgesetze von 1980 bis 1988 zur innerverbandlichen Demokratisierung, Verlag Peter Lang, Frankfurt a. M., 1990,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. 378 - 380</w:t>
            </w:r>
            <w:r w:rsidR="003F7583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E705AA" w:rsidRPr="00F3089D" w:rsidRDefault="00E705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VI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Tagungsberichte</w:t>
      </w:r>
    </w:p>
    <w:p w:rsidR="00BE39AA" w:rsidRPr="00F3089D" w:rsidRDefault="00BE39AA" w:rsidP="00490B5E">
      <w:pPr>
        <w:jc w:val="both"/>
        <w:rPr>
          <w:rFonts w:eastAsia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075"/>
      </w:tblGrid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lastRenderedPageBreak/>
              <w:t>2006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VIII. Europäischer Regionalkongress der Internationalen Gesellschaft für das Recht der Arbeit und der sozialen Sicherheit, Bologna, 20. bis 23. 9. 2005,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</w:t>
            </w:r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echt der Arbeit (</w:t>
            </w:r>
            <w:proofErr w:type="spellStart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="002B61AA"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)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2006, 125.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Konstituierende Sitzung des European Labour Law Network vom 2. bis 3. 12. 2005 in Hagen,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Recht der Arbeit (</w:t>
            </w:r>
            <w:proofErr w:type="spellStart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RdA</w:t>
            </w:r>
            <w:proofErr w:type="spellEnd"/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 xml:space="preserve">)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2006, 126.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Tagung der Gesellschaft für Rechtsvergleichung vom 24. - 27. September 1997 in Graz – Fachgruppe für Arbeits- und Sozialrecht,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Juristenzeitung (JZ)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1998, 1004 – 1005; derselbe Beitrag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Mitteilungen der Gesellschaft für Rechtsvergleichung – Deutsche Landesgruppe des Internationalen Verbandes für Rechtswissenschaft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Nr. 27, Freiburg, 1999,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84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88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DE00F0" w:rsidRPr="00F3089D" w:rsidRDefault="00DE00F0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Tagung der Gesellschaft für Rechtsvergleichung v. 23. bis 26. März in Berlin – Fachgruppe für Arbeits- und Sozialrecht,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Juristenzeitung (JZ)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1995, S. 147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7077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Kündigungsschutz in der Europäischen Gemeinschaft – Bestandsaufnahme der Systeme und Probleme ihrer Harmonisierung (Tagung für Rechtsvergleichung 1991 in Saarbrücken – Diskussionsbericht),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1991,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458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459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.</w:t>
            </w:r>
          </w:p>
          <w:p w:rsidR="002B61AA" w:rsidRPr="00F3089D" w:rsidRDefault="002B61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BE39AA" w:rsidRPr="00F3089D" w:rsidTr="00EB0EB5">
        <w:trPr>
          <w:tblCellSpacing w:w="0" w:type="dxa"/>
        </w:trPr>
        <w:tc>
          <w:tcPr>
            <w:tcW w:w="199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7077" w:type="dxa"/>
            <w:hideMark/>
          </w:tcPr>
          <w:p w:rsidR="002B61AA" w:rsidRPr="00F3089D" w:rsidRDefault="00BE39AA" w:rsidP="00EF03F0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Europäisches Arbeits- und Sozialrecht 1989 – Bericht von der Tagung der Gesellschaft für Rechtsvergleichung 1989 in Würzburg,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Zeitschrift für ausländisches und internationales Arbeits- und Sozialrecht (ZIAS)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1990,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Sn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. 70 </w:t>
            </w:r>
            <w:r w:rsidR="002B61AA" w:rsidRPr="00F3089D">
              <w:rPr>
                <w:rFonts w:eastAsia="Times New Roman"/>
                <w:sz w:val="24"/>
                <w:szCs w:val="24"/>
                <w:lang w:eastAsia="de-DE"/>
              </w:rPr>
              <w:t>– 88.</w:t>
            </w:r>
          </w:p>
        </w:tc>
      </w:tr>
    </w:tbl>
    <w:p w:rsidR="003F119E" w:rsidRDefault="003F119E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p w:rsidR="00BE39AA" w:rsidRPr="00F3089D" w:rsidRDefault="00BE39A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VII</w:t>
      </w:r>
      <w:r w:rsidR="00022702"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I</w:t>
      </w:r>
      <w:r w:rsidRPr="00F3089D">
        <w:rPr>
          <w:rFonts w:eastAsia="Times New Roman"/>
          <w:b/>
          <w:bCs/>
          <w:sz w:val="24"/>
          <w:szCs w:val="24"/>
          <w:u w:val="single"/>
          <w:lang w:eastAsia="de-DE"/>
        </w:rPr>
        <w:t>. Sonstiges</w:t>
      </w:r>
    </w:p>
    <w:p w:rsidR="0069252A" w:rsidRPr="00F3089D" w:rsidRDefault="0069252A" w:rsidP="00490B5E">
      <w:pPr>
        <w:jc w:val="both"/>
        <w:outlineLvl w:val="2"/>
        <w:rPr>
          <w:rFonts w:eastAsia="Times New Roman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4"/>
      </w:tblGrid>
      <w:tr w:rsidR="00BE39AA" w:rsidRPr="00F3089D" w:rsidTr="00BE39AA">
        <w:trPr>
          <w:tblCellSpacing w:w="0" w:type="dxa"/>
        </w:trPr>
        <w:tc>
          <w:tcPr>
            <w:tcW w:w="2085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b/>
                <w:bCs/>
                <w:iCs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7380" w:type="dxa"/>
            <w:hideMark/>
          </w:tcPr>
          <w:p w:rsidR="00BE39AA" w:rsidRPr="00F3089D" w:rsidRDefault="00BE39AA" w:rsidP="00490B5E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Interview Bernd </w:t>
            </w:r>
            <w:proofErr w:type="spellStart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>Waas</w:t>
            </w:r>
            <w:proofErr w:type="spellEnd"/>
            <w:r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, in: </w:t>
            </w:r>
            <w:r w:rsidRPr="00F3089D">
              <w:rPr>
                <w:rFonts w:eastAsia="Times New Roman"/>
                <w:i/>
                <w:sz w:val="24"/>
                <w:szCs w:val="24"/>
                <w:lang w:eastAsia="de-DE"/>
              </w:rPr>
              <w:t>Mobil in Europa – Chance, Wagnis, Perspektive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, Bundesagentur für Arbeit</w:t>
            </w:r>
            <w:r w:rsidR="00324CD4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/</w:t>
            </w:r>
            <w:r w:rsidR="00324CD4" w:rsidRPr="00F3089D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F3089D">
              <w:rPr>
                <w:rFonts w:eastAsia="Times New Roman"/>
                <w:sz w:val="24"/>
                <w:szCs w:val="24"/>
                <w:lang w:eastAsia="de-DE"/>
              </w:rPr>
              <w:t>Zentralstelle für Arbeitsvermittlung, Nürnberg 2006.</w:t>
            </w:r>
          </w:p>
        </w:tc>
      </w:tr>
    </w:tbl>
    <w:p w:rsidR="0001762A" w:rsidRPr="00F3089D" w:rsidRDefault="0001762A" w:rsidP="00DE00F0">
      <w:pPr>
        <w:jc w:val="both"/>
        <w:rPr>
          <w:sz w:val="24"/>
          <w:szCs w:val="24"/>
        </w:rPr>
      </w:pPr>
    </w:p>
    <w:sectPr w:rsidR="0001762A" w:rsidRPr="00F3089D" w:rsidSect="002A3B5B">
      <w:headerReference w:type="default" r:id="rId13"/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2E" w:rsidRDefault="0085002E" w:rsidP="00BE39AA">
      <w:r>
        <w:separator/>
      </w:r>
    </w:p>
  </w:endnote>
  <w:endnote w:type="continuationSeparator" w:id="0">
    <w:p w:rsidR="0085002E" w:rsidRDefault="0085002E" w:rsidP="00B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2E" w:rsidRDefault="008500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2E" w:rsidRDefault="0085002E" w:rsidP="00BE39AA">
      <w:r>
        <w:separator/>
      </w:r>
    </w:p>
  </w:footnote>
  <w:footnote w:type="continuationSeparator" w:id="0">
    <w:p w:rsidR="0085002E" w:rsidRDefault="0085002E" w:rsidP="00B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2E" w:rsidRPr="00BE39AA" w:rsidRDefault="0085002E" w:rsidP="00570010">
    <w:pPr>
      <w:pBdr>
        <w:bottom w:val="single" w:sz="4" w:space="1" w:color="auto"/>
      </w:pBdr>
      <w:spacing w:before="100" w:beforeAutospacing="1" w:after="100" w:afterAutospacing="1"/>
      <w:outlineLvl w:val="2"/>
      <w:rPr>
        <w:rFonts w:eastAsia="Times New Roman"/>
        <w:bCs/>
        <w:lang w:eastAsia="de-DE"/>
      </w:rPr>
    </w:pPr>
    <w:r>
      <w:rPr>
        <w:rFonts w:eastAsia="Times New Roman"/>
        <w:bCs/>
        <w:lang w:eastAsia="de-DE"/>
      </w:rPr>
      <w:t xml:space="preserve">  Prof. Dr. Bernd </w:t>
    </w:r>
    <w:proofErr w:type="spellStart"/>
    <w:r>
      <w:rPr>
        <w:rFonts w:eastAsia="Times New Roman"/>
        <w:bCs/>
        <w:lang w:eastAsia="de-DE"/>
      </w:rPr>
      <w:t>Waas</w:t>
    </w:r>
    <w:proofErr w:type="spellEnd"/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 w:rsidRPr="00BE39AA">
      <w:rPr>
        <w:rFonts w:eastAsia="Times New Roman"/>
        <w:bCs/>
        <w:lang w:eastAsia="de-DE"/>
      </w:rPr>
      <w:t>Schriftenverzeichnis</w:t>
    </w:r>
    <w:r>
      <w:rPr>
        <w:rFonts w:eastAsia="Times New Roman"/>
        <w:bCs/>
        <w:lang w:eastAsia="de-DE"/>
      </w:rPr>
      <w:t xml:space="preserve">  </w:t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</w:r>
    <w:r>
      <w:rPr>
        <w:rFonts w:eastAsia="Times New Roman"/>
        <w:bCs/>
        <w:lang w:eastAsia="de-DE"/>
      </w:rPr>
      <w:tab/>
      <w:t>-</w:t>
    </w:r>
    <w:r>
      <w:rPr>
        <w:rFonts w:eastAsia="Times New Roman"/>
        <w:bCs/>
        <w:lang w:eastAsia="de-DE"/>
      </w:rPr>
      <w:fldChar w:fldCharType="begin"/>
    </w:r>
    <w:r>
      <w:rPr>
        <w:rFonts w:eastAsia="Times New Roman"/>
        <w:bCs/>
        <w:lang w:eastAsia="de-DE"/>
      </w:rPr>
      <w:instrText xml:space="preserve"> PAGE  \* Arabic  \* MERGEFORMAT </w:instrText>
    </w:r>
    <w:r>
      <w:rPr>
        <w:rFonts w:eastAsia="Times New Roman"/>
        <w:bCs/>
        <w:lang w:eastAsia="de-DE"/>
      </w:rPr>
      <w:fldChar w:fldCharType="separate"/>
    </w:r>
    <w:r w:rsidR="00E20D90">
      <w:rPr>
        <w:rFonts w:eastAsia="Times New Roman"/>
        <w:bCs/>
        <w:noProof/>
        <w:lang w:eastAsia="de-DE"/>
      </w:rPr>
      <w:t>20</w:t>
    </w:r>
    <w:r>
      <w:rPr>
        <w:rFonts w:eastAsia="Times New Roman"/>
        <w:bCs/>
        <w:lang w:eastAsia="de-DE"/>
      </w:rPr>
      <w:fldChar w:fldCharType="end"/>
    </w:r>
    <w:r>
      <w:rPr>
        <w:rFonts w:eastAsia="Times New Roman"/>
        <w:bCs/>
        <w:lang w:eastAsia="de-DE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601"/>
    <w:multiLevelType w:val="multilevel"/>
    <w:tmpl w:val="EA1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2A25"/>
    <w:multiLevelType w:val="hybridMultilevel"/>
    <w:tmpl w:val="46940002"/>
    <w:lvl w:ilvl="0" w:tplc="2BBAC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9FF"/>
    <w:multiLevelType w:val="hybridMultilevel"/>
    <w:tmpl w:val="564E6D52"/>
    <w:lvl w:ilvl="0" w:tplc="C194D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414"/>
    <w:multiLevelType w:val="multilevel"/>
    <w:tmpl w:val="E60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A"/>
    <w:rsid w:val="000055E5"/>
    <w:rsid w:val="00006B57"/>
    <w:rsid w:val="00016F15"/>
    <w:rsid w:val="0001762A"/>
    <w:rsid w:val="00022702"/>
    <w:rsid w:val="00030465"/>
    <w:rsid w:val="00033997"/>
    <w:rsid w:val="00040936"/>
    <w:rsid w:val="00046259"/>
    <w:rsid w:val="00046C67"/>
    <w:rsid w:val="00047E9D"/>
    <w:rsid w:val="000550FF"/>
    <w:rsid w:val="000569C5"/>
    <w:rsid w:val="00067019"/>
    <w:rsid w:val="0007567F"/>
    <w:rsid w:val="00076630"/>
    <w:rsid w:val="000857CA"/>
    <w:rsid w:val="000903E6"/>
    <w:rsid w:val="00096CFC"/>
    <w:rsid w:val="000A2431"/>
    <w:rsid w:val="000B0FEF"/>
    <w:rsid w:val="000B413B"/>
    <w:rsid w:val="000B651D"/>
    <w:rsid w:val="000C762D"/>
    <w:rsid w:val="000E1139"/>
    <w:rsid w:val="000F18D0"/>
    <w:rsid w:val="000F1C8F"/>
    <w:rsid w:val="000F3250"/>
    <w:rsid w:val="000F5625"/>
    <w:rsid w:val="0011123C"/>
    <w:rsid w:val="00116EA0"/>
    <w:rsid w:val="0012080C"/>
    <w:rsid w:val="001216C3"/>
    <w:rsid w:val="0013604D"/>
    <w:rsid w:val="00140285"/>
    <w:rsid w:val="00140A59"/>
    <w:rsid w:val="00140B73"/>
    <w:rsid w:val="00147C2D"/>
    <w:rsid w:val="0016058D"/>
    <w:rsid w:val="00160912"/>
    <w:rsid w:val="00163DF6"/>
    <w:rsid w:val="00174D79"/>
    <w:rsid w:val="001831B8"/>
    <w:rsid w:val="00186821"/>
    <w:rsid w:val="00190513"/>
    <w:rsid w:val="00193507"/>
    <w:rsid w:val="001A3F58"/>
    <w:rsid w:val="001A3FC1"/>
    <w:rsid w:val="001B7178"/>
    <w:rsid w:val="001C04C0"/>
    <w:rsid w:val="001C18B9"/>
    <w:rsid w:val="001C1C32"/>
    <w:rsid w:val="001D256D"/>
    <w:rsid w:val="001E0BE5"/>
    <w:rsid w:val="001E4AEF"/>
    <w:rsid w:val="001E684E"/>
    <w:rsid w:val="001F72BB"/>
    <w:rsid w:val="00201EC4"/>
    <w:rsid w:val="00210FEB"/>
    <w:rsid w:val="0021144D"/>
    <w:rsid w:val="00213E07"/>
    <w:rsid w:val="0022032F"/>
    <w:rsid w:val="002316B7"/>
    <w:rsid w:val="00232A8D"/>
    <w:rsid w:val="00240F73"/>
    <w:rsid w:val="002417DA"/>
    <w:rsid w:val="00242858"/>
    <w:rsid w:val="0024356F"/>
    <w:rsid w:val="00252B40"/>
    <w:rsid w:val="00270C84"/>
    <w:rsid w:val="00274AA7"/>
    <w:rsid w:val="00274D4D"/>
    <w:rsid w:val="00281BD2"/>
    <w:rsid w:val="00291975"/>
    <w:rsid w:val="002937FC"/>
    <w:rsid w:val="002A3B5B"/>
    <w:rsid w:val="002A3D74"/>
    <w:rsid w:val="002A5C43"/>
    <w:rsid w:val="002B61AA"/>
    <w:rsid w:val="002B6C02"/>
    <w:rsid w:val="002B7614"/>
    <w:rsid w:val="002D0646"/>
    <w:rsid w:val="002D3472"/>
    <w:rsid w:val="002D3B1B"/>
    <w:rsid w:val="002E5F6D"/>
    <w:rsid w:val="002E738B"/>
    <w:rsid w:val="002F2AA7"/>
    <w:rsid w:val="002F4E35"/>
    <w:rsid w:val="002F6BB3"/>
    <w:rsid w:val="003022A5"/>
    <w:rsid w:val="003221C7"/>
    <w:rsid w:val="00322846"/>
    <w:rsid w:val="00324CD4"/>
    <w:rsid w:val="00325A92"/>
    <w:rsid w:val="00337414"/>
    <w:rsid w:val="003412A2"/>
    <w:rsid w:val="00366851"/>
    <w:rsid w:val="00376DEC"/>
    <w:rsid w:val="003836A8"/>
    <w:rsid w:val="0038767B"/>
    <w:rsid w:val="00390B47"/>
    <w:rsid w:val="00392642"/>
    <w:rsid w:val="00394C47"/>
    <w:rsid w:val="00396D65"/>
    <w:rsid w:val="003971B7"/>
    <w:rsid w:val="003C2C9C"/>
    <w:rsid w:val="003C5D17"/>
    <w:rsid w:val="003D2FA4"/>
    <w:rsid w:val="003E272D"/>
    <w:rsid w:val="003F119E"/>
    <w:rsid w:val="003F2ECB"/>
    <w:rsid w:val="003F7583"/>
    <w:rsid w:val="00404D6F"/>
    <w:rsid w:val="0040569C"/>
    <w:rsid w:val="00406546"/>
    <w:rsid w:val="004100AA"/>
    <w:rsid w:val="00414AE8"/>
    <w:rsid w:val="0042388D"/>
    <w:rsid w:val="00432F9A"/>
    <w:rsid w:val="00443331"/>
    <w:rsid w:val="004444A7"/>
    <w:rsid w:val="0045088E"/>
    <w:rsid w:val="00454B30"/>
    <w:rsid w:val="00455D37"/>
    <w:rsid w:val="00456D7E"/>
    <w:rsid w:val="00464491"/>
    <w:rsid w:val="00467247"/>
    <w:rsid w:val="004711A8"/>
    <w:rsid w:val="00472223"/>
    <w:rsid w:val="00475676"/>
    <w:rsid w:val="0048555A"/>
    <w:rsid w:val="004871BD"/>
    <w:rsid w:val="00490B5E"/>
    <w:rsid w:val="00493B2E"/>
    <w:rsid w:val="004B082A"/>
    <w:rsid w:val="004B6E08"/>
    <w:rsid w:val="004B708B"/>
    <w:rsid w:val="004D42AA"/>
    <w:rsid w:val="004D4A6D"/>
    <w:rsid w:val="004D72DB"/>
    <w:rsid w:val="004D76B1"/>
    <w:rsid w:val="004D7EAF"/>
    <w:rsid w:val="004E7E1D"/>
    <w:rsid w:val="004F6556"/>
    <w:rsid w:val="00505517"/>
    <w:rsid w:val="005100C5"/>
    <w:rsid w:val="005153E8"/>
    <w:rsid w:val="00516D8E"/>
    <w:rsid w:val="0052123F"/>
    <w:rsid w:val="00522479"/>
    <w:rsid w:val="005274FA"/>
    <w:rsid w:val="005370DE"/>
    <w:rsid w:val="00553681"/>
    <w:rsid w:val="00557820"/>
    <w:rsid w:val="00562468"/>
    <w:rsid w:val="00565201"/>
    <w:rsid w:val="00570010"/>
    <w:rsid w:val="00575971"/>
    <w:rsid w:val="00582E67"/>
    <w:rsid w:val="00593446"/>
    <w:rsid w:val="005A18A3"/>
    <w:rsid w:val="005B0B6B"/>
    <w:rsid w:val="005B5A9E"/>
    <w:rsid w:val="005C5842"/>
    <w:rsid w:val="005C598E"/>
    <w:rsid w:val="005D33D4"/>
    <w:rsid w:val="005D6C9D"/>
    <w:rsid w:val="005E2DD1"/>
    <w:rsid w:val="005F026B"/>
    <w:rsid w:val="005F1323"/>
    <w:rsid w:val="005F13A4"/>
    <w:rsid w:val="006007AE"/>
    <w:rsid w:val="00606B45"/>
    <w:rsid w:val="006117FD"/>
    <w:rsid w:val="0061336A"/>
    <w:rsid w:val="006157C7"/>
    <w:rsid w:val="006272EF"/>
    <w:rsid w:val="006304A4"/>
    <w:rsid w:val="00632A06"/>
    <w:rsid w:val="00656198"/>
    <w:rsid w:val="00656B19"/>
    <w:rsid w:val="006604BD"/>
    <w:rsid w:val="00683E5F"/>
    <w:rsid w:val="006848AC"/>
    <w:rsid w:val="006918C1"/>
    <w:rsid w:val="0069252A"/>
    <w:rsid w:val="00694D67"/>
    <w:rsid w:val="00697685"/>
    <w:rsid w:val="006A072B"/>
    <w:rsid w:val="006C0489"/>
    <w:rsid w:val="006C2D59"/>
    <w:rsid w:val="006C7256"/>
    <w:rsid w:val="006D3FFC"/>
    <w:rsid w:val="006E004C"/>
    <w:rsid w:val="006E3BD3"/>
    <w:rsid w:val="006E4FC7"/>
    <w:rsid w:val="006F1247"/>
    <w:rsid w:val="007147F3"/>
    <w:rsid w:val="0073245F"/>
    <w:rsid w:val="0075364B"/>
    <w:rsid w:val="00770FBA"/>
    <w:rsid w:val="007931D6"/>
    <w:rsid w:val="007B4365"/>
    <w:rsid w:val="007C7BDA"/>
    <w:rsid w:val="007D0822"/>
    <w:rsid w:val="007D74A3"/>
    <w:rsid w:val="007E697C"/>
    <w:rsid w:val="007F24E9"/>
    <w:rsid w:val="00805CB8"/>
    <w:rsid w:val="00806CCB"/>
    <w:rsid w:val="00825CE2"/>
    <w:rsid w:val="00835EE0"/>
    <w:rsid w:val="008379D6"/>
    <w:rsid w:val="0085002E"/>
    <w:rsid w:val="00850A43"/>
    <w:rsid w:val="00851631"/>
    <w:rsid w:val="0086786D"/>
    <w:rsid w:val="008762CE"/>
    <w:rsid w:val="00884645"/>
    <w:rsid w:val="0089202A"/>
    <w:rsid w:val="00893CC1"/>
    <w:rsid w:val="0089436A"/>
    <w:rsid w:val="008A4B8D"/>
    <w:rsid w:val="008B3B70"/>
    <w:rsid w:val="008C5805"/>
    <w:rsid w:val="008D0FC6"/>
    <w:rsid w:val="008D4CBF"/>
    <w:rsid w:val="008E090C"/>
    <w:rsid w:val="008E4183"/>
    <w:rsid w:val="008E5900"/>
    <w:rsid w:val="008E5B50"/>
    <w:rsid w:val="008E5F6E"/>
    <w:rsid w:val="008E6D09"/>
    <w:rsid w:val="008F2342"/>
    <w:rsid w:val="00901F3C"/>
    <w:rsid w:val="00907C88"/>
    <w:rsid w:val="00917D29"/>
    <w:rsid w:val="00922EA7"/>
    <w:rsid w:val="00931F81"/>
    <w:rsid w:val="009334B5"/>
    <w:rsid w:val="00933AB7"/>
    <w:rsid w:val="00936268"/>
    <w:rsid w:val="00940AC7"/>
    <w:rsid w:val="009422C5"/>
    <w:rsid w:val="0094508E"/>
    <w:rsid w:val="00951C7C"/>
    <w:rsid w:val="009527D8"/>
    <w:rsid w:val="009567BE"/>
    <w:rsid w:val="009570C3"/>
    <w:rsid w:val="00961BFE"/>
    <w:rsid w:val="00961E10"/>
    <w:rsid w:val="00962BE3"/>
    <w:rsid w:val="00974282"/>
    <w:rsid w:val="00977B52"/>
    <w:rsid w:val="00981119"/>
    <w:rsid w:val="00982F31"/>
    <w:rsid w:val="0099168C"/>
    <w:rsid w:val="00997542"/>
    <w:rsid w:val="00997878"/>
    <w:rsid w:val="009A1CD3"/>
    <w:rsid w:val="009A4BEB"/>
    <w:rsid w:val="009A6A45"/>
    <w:rsid w:val="009A7522"/>
    <w:rsid w:val="009B26D5"/>
    <w:rsid w:val="009C3B88"/>
    <w:rsid w:val="009C6C3B"/>
    <w:rsid w:val="009D295E"/>
    <w:rsid w:val="009E0DE6"/>
    <w:rsid w:val="009E3499"/>
    <w:rsid w:val="009E6D5F"/>
    <w:rsid w:val="009F5EEB"/>
    <w:rsid w:val="00A1133C"/>
    <w:rsid w:val="00A221CA"/>
    <w:rsid w:val="00A312EB"/>
    <w:rsid w:val="00A3309D"/>
    <w:rsid w:val="00A372D7"/>
    <w:rsid w:val="00A4038E"/>
    <w:rsid w:val="00A62B56"/>
    <w:rsid w:val="00A648A2"/>
    <w:rsid w:val="00A6500B"/>
    <w:rsid w:val="00A703FE"/>
    <w:rsid w:val="00A770D4"/>
    <w:rsid w:val="00A83C76"/>
    <w:rsid w:val="00A86F29"/>
    <w:rsid w:val="00A90ABB"/>
    <w:rsid w:val="00A94457"/>
    <w:rsid w:val="00A94C1D"/>
    <w:rsid w:val="00AA5122"/>
    <w:rsid w:val="00AA603F"/>
    <w:rsid w:val="00AA6BE9"/>
    <w:rsid w:val="00AB6FE0"/>
    <w:rsid w:val="00AC0208"/>
    <w:rsid w:val="00AC063F"/>
    <w:rsid w:val="00AD7278"/>
    <w:rsid w:val="00AF29C2"/>
    <w:rsid w:val="00AF67E1"/>
    <w:rsid w:val="00B0228C"/>
    <w:rsid w:val="00B04829"/>
    <w:rsid w:val="00B11A97"/>
    <w:rsid w:val="00B12639"/>
    <w:rsid w:val="00B52FDE"/>
    <w:rsid w:val="00B662E9"/>
    <w:rsid w:val="00B741C5"/>
    <w:rsid w:val="00B857D0"/>
    <w:rsid w:val="00B86281"/>
    <w:rsid w:val="00B94BA2"/>
    <w:rsid w:val="00BA0CAB"/>
    <w:rsid w:val="00BA1DB6"/>
    <w:rsid w:val="00BA1FD0"/>
    <w:rsid w:val="00BC3A12"/>
    <w:rsid w:val="00BC4E0F"/>
    <w:rsid w:val="00BC57B9"/>
    <w:rsid w:val="00BD389F"/>
    <w:rsid w:val="00BD4996"/>
    <w:rsid w:val="00BD596C"/>
    <w:rsid w:val="00BE2CAF"/>
    <w:rsid w:val="00BE39AA"/>
    <w:rsid w:val="00BF0621"/>
    <w:rsid w:val="00BF0CA4"/>
    <w:rsid w:val="00C342D9"/>
    <w:rsid w:val="00C432BA"/>
    <w:rsid w:val="00C45D69"/>
    <w:rsid w:val="00C501FE"/>
    <w:rsid w:val="00C56175"/>
    <w:rsid w:val="00C73447"/>
    <w:rsid w:val="00C74A24"/>
    <w:rsid w:val="00CA021B"/>
    <w:rsid w:val="00CA44A3"/>
    <w:rsid w:val="00CC3ECB"/>
    <w:rsid w:val="00CC4A72"/>
    <w:rsid w:val="00CD2432"/>
    <w:rsid w:val="00CD34D2"/>
    <w:rsid w:val="00CD41BF"/>
    <w:rsid w:val="00CD5F50"/>
    <w:rsid w:val="00CE1C91"/>
    <w:rsid w:val="00CF4159"/>
    <w:rsid w:val="00D02714"/>
    <w:rsid w:val="00D02DC2"/>
    <w:rsid w:val="00D102BB"/>
    <w:rsid w:val="00D143C8"/>
    <w:rsid w:val="00D34029"/>
    <w:rsid w:val="00D51D0D"/>
    <w:rsid w:val="00D543A3"/>
    <w:rsid w:val="00D549CC"/>
    <w:rsid w:val="00D80927"/>
    <w:rsid w:val="00D83BD5"/>
    <w:rsid w:val="00D8448C"/>
    <w:rsid w:val="00D8754F"/>
    <w:rsid w:val="00D93168"/>
    <w:rsid w:val="00D97DCF"/>
    <w:rsid w:val="00DA4080"/>
    <w:rsid w:val="00DA44F5"/>
    <w:rsid w:val="00DB22D2"/>
    <w:rsid w:val="00DC79BF"/>
    <w:rsid w:val="00DD4553"/>
    <w:rsid w:val="00DD7D10"/>
    <w:rsid w:val="00DE00F0"/>
    <w:rsid w:val="00DE1A52"/>
    <w:rsid w:val="00DF66DB"/>
    <w:rsid w:val="00E13F94"/>
    <w:rsid w:val="00E20D90"/>
    <w:rsid w:val="00E231E4"/>
    <w:rsid w:val="00E24ADB"/>
    <w:rsid w:val="00E2560F"/>
    <w:rsid w:val="00E34D4D"/>
    <w:rsid w:val="00E46B4C"/>
    <w:rsid w:val="00E524BA"/>
    <w:rsid w:val="00E608D0"/>
    <w:rsid w:val="00E705AA"/>
    <w:rsid w:val="00E80B4C"/>
    <w:rsid w:val="00E849D6"/>
    <w:rsid w:val="00E859CB"/>
    <w:rsid w:val="00E87E5D"/>
    <w:rsid w:val="00E905EE"/>
    <w:rsid w:val="00E91F2C"/>
    <w:rsid w:val="00EA2427"/>
    <w:rsid w:val="00EA2BF9"/>
    <w:rsid w:val="00EB0EB5"/>
    <w:rsid w:val="00EB1217"/>
    <w:rsid w:val="00EC626E"/>
    <w:rsid w:val="00ED765C"/>
    <w:rsid w:val="00EF03F0"/>
    <w:rsid w:val="00EF18A1"/>
    <w:rsid w:val="00F06D4B"/>
    <w:rsid w:val="00F14028"/>
    <w:rsid w:val="00F1427D"/>
    <w:rsid w:val="00F16896"/>
    <w:rsid w:val="00F273E2"/>
    <w:rsid w:val="00F30062"/>
    <w:rsid w:val="00F3089D"/>
    <w:rsid w:val="00F34936"/>
    <w:rsid w:val="00F3638C"/>
    <w:rsid w:val="00F37F0F"/>
    <w:rsid w:val="00F422B4"/>
    <w:rsid w:val="00F4400E"/>
    <w:rsid w:val="00F4721D"/>
    <w:rsid w:val="00F50C05"/>
    <w:rsid w:val="00F5471C"/>
    <w:rsid w:val="00F62337"/>
    <w:rsid w:val="00F74453"/>
    <w:rsid w:val="00F855A3"/>
    <w:rsid w:val="00F85AE6"/>
    <w:rsid w:val="00F91105"/>
    <w:rsid w:val="00FA318F"/>
    <w:rsid w:val="00FB02F1"/>
    <w:rsid w:val="00FB2210"/>
    <w:rsid w:val="00FB25A6"/>
    <w:rsid w:val="00FC237A"/>
    <w:rsid w:val="00FD1152"/>
    <w:rsid w:val="00FD289F"/>
    <w:rsid w:val="00FE171E"/>
    <w:rsid w:val="00FE1FF6"/>
    <w:rsid w:val="00FE50EF"/>
    <w:rsid w:val="00FF1A9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7B74-CDBF-4B62-9EFB-A47AC68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F31"/>
  </w:style>
  <w:style w:type="paragraph" w:styleId="berschrift1">
    <w:name w:val="heading 1"/>
    <w:basedOn w:val="Standard"/>
    <w:next w:val="Standard"/>
    <w:link w:val="berschrift1Zchn"/>
    <w:uiPriority w:val="9"/>
    <w:qFormat/>
    <w:rsid w:val="00A70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E39A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E3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E39A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E39AA"/>
    <w:rPr>
      <w:rFonts w:eastAsia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39AA"/>
    <w:rPr>
      <w:rFonts w:eastAsia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39AA"/>
    <w:rPr>
      <w:rFonts w:eastAsia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E39AA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39AA"/>
    <w:rPr>
      <w:b/>
      <w:bCs/>
    </w:rPr>
  </w:style>
  <w:style w:type="character" w:styleId="Hervorhebung">
    <w:name w:val="Emphasis"/>
    <w:basedOn w:val="Absatz-Standardschriftart"/>
    <w:uiPriority w:val="20"/>
    <w:qFormat/>
    <w:rsid w:val="00BE39A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E3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9AA"/>
  </w:style>
  <w:style w:type="paragraph" w:styleId="Fuzeile">
    <w:name w:val="footer"/>
    <w:basedOn w:val="Standard"/>
    <w:link w:val="FuzeileZchn"/>
    <w:uiPriority w:val="99"/>
    <w:semiHidden/>
    <w:unhideWhenUsed/>
    <w:rsid w:val="00BE3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3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9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9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555A"/>
    <w:pPr>
      <w:ind w:left="720"/>
      <w:contextualSpacing/>
    </w:pPr>
  </w:style>
  <w:style w:type="character" w:customStyle="1" w:styleId="catproductnumber">
    <w:name w:val="catproductnumber"/>
    <w:basedOn w:val="Absatz-Standardschriftart"/>
    <w:rsid w:val="0011123C"/>
  </w:style>
  <w:style w:type="character" w:styleId="Kommentarzeichen">
    <w:name w:val="annotation reference"/>
    <w:basedOn w:val="Absatz-Standardschriftart"/>
    <w:uiPriority w:val="99"/>
    <w:semiHidden/>
    <w:unhideWhenUsed/>
    <w:rsid w:val="009A1C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CD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CD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D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D8E"/>
    <w:rPr>
      <w:b/>
      <w:bCs/>
    </w:rPr>
  </w:style>
  <w:style w:type="character" w:customStyle="1" w:styleId="Untertitel1">
    <w:name w:val="Untertitel1"/>
    <w:basedOn w:val="Absatz-Standardschriftart"/>
    <w:rsid w:val="00B662E9"/>
  </w:style>
  <w:style w:type="character" w:styleId="Hyperlink">
    <w:name w:val="Hyperlink"/>
    <w:basedOn w:val="Absatz-Standardschriftart"/>
    <w:uiPriority w:val="99"/>
    <w:unhideWhenUsed/>
    <w:rsid w:val="00BF0CA4"/>
    <w:rPr>
      <w:color w:val="0000FF" w:themeColor="hyperlink"/>
      <w:u w:val="single"/>
    </w:rPr>
  </w:style>
  <w:style w:type="character" w:customStyle="1" w:styleId="dimmed">
    <w:name w:val="dimmed"/>
    <w:basedOn w:val="Absatz-Standardschriftart"/>
    <w:rsid w:val="00A703FE"/>
  </w:style>
  <w:style w:type="character" w:customStyle="1" w:styleId="berschrift1Zchn">
    <w:name w:val="Überschrift 1 Zchn"/>
    <w:basedOn w:val="Absatz-Standardschriftart"/>
    <w:link w:val="berschrift1"/>
    <w:uiPriority w:val="9"/>
    <w:rsid w:val="00A703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3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portal/en/persons/jenny-julen-votinius(e32a313f-4866-42d8-8c36-e8fa3e354929)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ersitetsforlaget.no/page/author/348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tsforlaget.no/page/author/507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ersitetsforlaget.no/page/author/567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tsforlaget.no/page/author/7959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C1A0-3557-46C4-9742-DCEC42F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69BAB51F.dotm</Template>
  <TotalTime>0</TotalTime>
  <Pages>20</Pages>
  <Words>6193</Words>
  <Characters>39016</Characters>
  <Application>Microsoft Office Word</Application>
  <DocSecurity>0</DocSecurity>
  <Lines>325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45119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bakirtzi</dc:creator>
  <cp:lastModifiedBy>Florian Franz</cp:lastModifiedBy>
  <cp:revision>8</cp:revision>
  <cp:lastPrinted>2016-05-12T12:39:00Z</cp:lastPrinted>
  <dcterms:created xsi:type="dcterms:W3CDTF">2018-07-20T16:24:00Z</dcterms:created>
  <dcterms:modified xsi:type="dcterms:W3CDTF">2018-11-05T08:26:00Z</dcterms:modified>
</cp:coreProperties>
</file>