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6ECB" w14:textId="77777777" w:rsidR="00837E22" w:rsidRPr="00837E22" w:rsidRDefault="00837E22" w:rsidP="00837E22">
      <w:pPr>
        <w:tabs>
          <w:tab w:val="left" w:pos="5520"/>
        </w:tabs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837E22">
        <w:rPr>
          <w:rFonts w:ascii="Verdana" w:hAnsi="Verdana"/>
          <w:b/>
          <w:sz w:val="24"/>
          <w:szCs w:val="24"/>
          <w:u w:val="single"/>
        </w:rPr>
        <w:t xml:space="preserve">Seminar „International Labour </w:t>
      </w:r>
      <w:proofErr w:type="spellStart"/>
      <w:r w:rsidRPr="00837E22">
        <w:rPr>
          <w:rFonts w:ascii="Verdana" w:hAnsi="Verdana"/>
          <w:b/>
          <w:sz w:val="24"/>
          <w:szCs w:val="24"/>
          <w:u w:val="single"/>
        </w:rPr>
        <w:t>Organization</w:t>
      </w:r>
      <w:proofErr w:type="spellEnd"/>
      <w:r w:rsidRPr="00837E22">
        <w:rPr>
          <w:rFonts w:ascii="Verdana" w:hAnsi="Verdana"/>
          <w:b/>
          <w:sz w:val="24"/>
          <w:szCs w:val="24"/>
          <w:u w:val="single"/>
        </w:rPr>
        <w:t>“</w:t>
      </w:r>
    </w:p>
    <w:p w14:paraId="42BA61E0" w14:textId="77777777" w:rsidR="00700F50" w:rsidRDefault="00700F50" w:rsidP="00700F50">
      <w:pPr>
        <w:spacing w:line="240" w:lineRule="auto"/>
        <w:jc w:val="both"/>
        <w:rPr>
          <w:rStyle w:val="gericht"/>
          <w:rFonts w:cstheme="minorHAnsi"/>
          <w:b/>
          <w:bCs/>
          <w:color w:val="141414"/>
          <w:u w:val="single"/>
        </w:rPr>
      </w:pPr>
    </w:p>
    <w:p w14:paraId="0349A49F" w14:textId="77777777" w:rsidR="00837E22" w:rsidRPr="000A32AA" w:rsidRDefault="00700F50" w:rsidP="000A32AA">
      <w:pPr>
        <w:spacing w:line="240" w:lineRule="auto"/>
        <w:jc w:val="both"/>
        <w:rPr>
          <w:rFonts w:cstheme="minorHAnsi"/>
          <w:b/>
          <w:bCs/>
          <w:color w:val="141414"/>
          <w:u w:val="single"/>
        </w:rPr>
      </w:pPr>
      <w:r>
        <w:rPr>
          <w:rStyle w:val="gericht"/>
          <w:rFonts w:cstheme="minorHAnsi"/>
          <w:b/>
          <w:bCs/>
          <w:color w:val="141414"/>
          <w:u w:val="single"/>
        </w:rPr>
        <w:t>Beschreibung:</w:t>
      </w:r>
    </w:p>
    <w:p w14:paraId="3B3D1DDC" w14:textId="77777777" w:rsidR="00837E22" w:rsidRPr="00837E22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 xml:space="preserve">Die International Labour </w:t>
      </w:r>
      <w:proofErr w:type="spellStart"/>
      <w:r w:rsidRPr="00837E22">
        <w:t>Organization</w:t>
      </w:r>
      <w:proofErr w:type="spellEnd"/>
      <w:r w:rsidRPr="00837E22">
        <w:t xml:space="preserve"> (ILO) mit Sitz in Genf ist eine Sonderorganisation der Vereinten Nationen mit dem Ziel der Förderung der sozialen Gerechtigkeit sowie der internationalen Menschen- und Arbeitnehmerrechte. In der ILO arbeiten Regierungen, Gewerkschaften und Arbeitgeber zusammen. Im Rahmen der ILO werden, insbesondere in Gestalt rechtsverbindlicher Übereinkommen, internationale Arbeitsstandards erarbeitet, deren Einhaltung durch die ILO-Mitgliedstaaten von Überwachungsgremien überprüft wird.</w:t>
      </w:r>
    </w:p>
    <w:p w14:paraId="0D0E89F3" w14:textId="66E82B51" w:rsidR="000A32AA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>Das Seminar soll den Studierenden Gelegenheit gegeben, die Arbeit der ILO kennenzulernen und sich v. a. mit den Internationalen Arbeitsstandards und dem System ihrer Überwachung vertraut zu machen.</w:t>
      </w:r>
    </w:p>
    <w:p w14:paraId="01CEDB30" w14:textId="77777777" w:rsidR="00837E22" w:rsidRPr="00837E22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>Diesem Ziel dient insbesondere ein Besuch der ILO in Genf. Dankenswerterweise haben sich zahlreiche Experten der ILO zu Kurzvorträgen bereit e</w:t>
      </w:r>
      <w:r w:rsidR="000A32AA">
        <w:t>rklärt. Gegenstände sind u. a.:</w:t>
      </w:r>
    </w:p>
    <w:p w14:paraId="77BB84D8" w14:textId="77777777" w:rsidR="00837E22" w:rsidRPr="00837E22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>● Internationale Arbeitsstandards und Menschenrechte</w:t>
      </w:r>
    </w:p>
    <w:p w14:paraId="6FE44C74" w14:textId="77777777" w:rsidR="00837E22" w:rsidRPr="00837E22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>● Internationale Arbeitsstandards inkl. der sog. Kernarbeitsnormen (Vereinigungsfreiheit, Recht auf Kollektivverhandlungen, Verbot von Zwangsarbeit und Kinderarbeit, Verbot der Diskriminierung, Entgeltgleichheit und Arbeitsschutz)</w:t>
      </w:r>
    </w:p>
    <w:p w14:paraId="2455E3F8" w14:textId="77777777" w:rsidR="00837E22" w:rsidRPr="00837E22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>● Schutz der Vereinigungsfreiheit und Recht auf Kollektivverhandlungen</w:t>
      </w:r>
    </w:p>
    <w:p w14:paraId="0E17753E" w14:textId="77777777" w:rsidR="00837E22" w:rsidRPr="00837E22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>● Der Schutz von Arbeitszeit und Arbeitsentgelt</w:t>
      </w:r>
    </w:p>
    <w:p w14:paraId="34F97E53" w14:textId="77777777" w:rsidR="00837E22" w:rsidRPr="00837E22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>● Das Seearbeitsübereinkommen</w:t>
      </w:r>
    </w:p>
    <w:p w14:paraId="627015D6" w14:textId="77777777" w:rsidR="00837E22" w:rsidRPr="00837E22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>● Das System der Normenüberwachung</w:t>
      </w:r>
    </w:p>
    <w:p w14:paraId="01028ADD" w14:textId="77777777" w:rsidR="00837E22" w:rsidRPr="00837E22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>● Der Sachverständigenausschuss für die Durchführung der Übereinkommen und Empfehlungen</w:t>
      </w:r>
    </w:p>
    <w:p w14:paraId="5995E4C6" w14:textId="77777777" w:rsidR="00837E22" w:rsidRPr="00837E22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>● Die Arbeit der Untersuchungskommission wegen der Verletzung der Übereinkommen zu Vereinigungsfreiheit und Zwangsarbeit durch Myanmar</w:t>
      </w:r>
    </w:p>
    <w:p w14:paraId="66766B60" w14:textId="77777777" w:rsidR="00837E22" w:rsidRPr="00837E22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>● Die ILO-Strategie für menschenwürdige Arbeit in der Lieferkette</w:t>
      </w:r>
    </w:p>
    <w:p w14:paraId="6802394F" w14:textId="77777777" w:rsidR="00837E22" w:rsidRPr="00837E22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>● Die Arbeit an einem Standard zu menschenwürdiger Arbeit in der Plattformökonomie</w:t>
      </w:r>
    </w:p>
    <w:p w14:paraId="385D7A12" w14:textId="77777777" w:rsidR="00700F50" w:rsidRPr="00837E22" w:rsidRDefault="00837E22" w:rsidP="00837E22">
      <w:pPr>
        <w:tabs>
          <w:tab w:val="left" w:pos="5520"/>
        </w:tabs>
        <w:spacing w:line="240" w:lineRule="auto"/>
        <w:jc w:val="both"/>
      </w:pPr>
      <w:r w:rsidRPr="00837E22">
        <w:t>● Der Vorschlag für eine globale Koalition für soziale Gerechtigkeit</w:t>
      </w:r>
    </w:p>
    <w:p w14:paraId="7520CD5E" w14:textId="77777777" w:rsidR="00837E22" w:rsidRDefault="00837E22" w:rsidP="00700F50">
      <w:pPr>
        <w:spacing w:line="240" w:lineRule="auto"/>
        <w:jc w:val="both"/>
        <w:rPr>
          <w:rFonts w:cstheme="minorHAnsi"/>
          <w:b/>
          <w:bCs/>
          <w:color w:val="141414"/>
          <w:u w:val="single"/>
        </w:rPr>
      </w:pPr>
    </w:p>
    <w:p w14:paraId="06737E45" w14:textId="77777777" w:rsidR="00700F50" w:rsidRDefault="00700F50" w:rsidP="00700F50">
      <w:pPr>
        <w:spacing w:line="240" w:lineRule="auto"/>
        <w:jc w:val="both"/>
        <w:rPr>
          <w:rFonts w:cstheme="minorHAnsi"/>
          <w:b/>
          <w:bCs/>
          <w:color w:val="141414"/>
          <w:u w:val="single"/>
        </w:rPr>
      </w:pPr>
      <w:r w:rsidRPr="008E53EE">
        <w:rPr>
          <w:rFonts w:cstheme="minorHAnsi"/>
          <w:b/>
          <w:bCs/>
          <w:color w:val="141414"/>
          <w:u w:val="single"/>
        </w:rPr>
        <w:t>Organisatorisches:</w:t>
      </w:r>
    </w:p>
    <w:p w14:paraId="17BFDEEE" w14:textId="1DC55E75" w:rsidR="00700F50" w:rsidRPr="00491AFE" w:rsidRDefault="000A32AA" w:rsidP="00491AFE">
      <w:pPr>
        <w:spacing w:line="240" w:lineRule="auto"/>
        <w:jc w:val="both"/>
        <w:rPr>
          <w:rFonts w:cstheme="minorHAnsi"/>
          <w:color w:val="141414"/>
        </w:rPr>
      </w:pPr>
      <w:r>
        <w:rPr>
          <w:rFonts w:cstheme="minorHAnsi"/>
          <w:color w:val="141414"/>
        </w:rPr>
        <w:t xml:space="preserve">Am Mittwoch, den </w:t>
      </w:r>
      <w:r w:rsidRPr="000A32AA">
        <w:rPr>
          <w:rFonts w:cstheme="minorHAnsi"/>
          <w:b/>
          <w:color w:val="141414"/>
        </w:rPr>
        <w:t>24.01.2024 (KW 4)</w:t>
      </w:r>
      <w:r>
        <w:rPr>
          <w:rFonts w:cstheme="minorHAnsi"/>
          <w:color w:val="141414"/>
        </w:rPr>
        <w:t xml:space="preserve"> </w:t>
      </w:r>
      <w:r w:rsidR="00700F50" w:rsidRPr="00700F50">
        <w:rPr>
          <w:rFonts w:cstheme="minorHAnsi"/>
          <w:b/>
          <w:color w:val="141414"/>
        </w:rPr>
        <w:t>findet um 1</w:t>
      </w:r>
      <w:r>
        <w:rPr>
          <w:rFonts w:cstheme="minorHAnsi"/>
          <w:b/>
          <w:color w:val="141414"/>
        </w:rPr>
        <w:t>3</w:t>
      </w:r>
      <w:r w:rsidR="00700F50" w:rsidRPr="00700F50">
        <w:rPr>
          <w:rFonts w:cstheme="minorHAnsi"/>
          <w:b/>
          <w:color w:val="141414"/>
        </w:rPr>
        <w:t xml:space="preserve"> Uhr </w:t>
      </w:r>
      <w:r>
        <w:rPr>
          <w:rFonts w:cstheme="minorHAnsi"/>
          <w:b/>
          <w:color w:val="141414"/>
        </w:rPr>
        <w:t xml:space="preserve">(s.t.) </w:t>
      </w:r>
      <w:r w:rsidR="00700F50" w:rsidRPr="00700F50">
        <w:rPr>
          <w:rFonts w:cstheme="minorHAnsi"/>
          <w:color w:val="141414"/>
        </w:rPr>
        <w:t xml:space="preserve">eine </w:t>
      </w:r>
      <w:r w:rsidR="00700F50" w:rsidRPr="00700F50">
        <w:rPr>
          <w:rFonts w:cstheme="minorHAnsi"/>
          <w:b/>
          <w:color w:val="141414"/>
        </w:rPr>
        <w:t>Vorbesprechung</w:t>
      </w:r>
      <w:r w:rsidR="00700F50" w:rsidRPr="00700F50">
        <w:rPr>
          <w:rFonts w:cstheme="minorHAnsi"/>
          <w:color w:val="141414"/>
        </w:rPr>
        <w:t xml:space="preserve"> in </w:t>
      </w:r>
      <w:proofErr w:type="spellStart"/>
      <w:r w:rsidR="00700F50" w:rsidRPr="00C55698">
        <w:rPr>
          <w:b/>
        </w:rPr>
        <w:t>RuW</w:t>
      </w:r>
      <w:proofErr w:type="spellEnd"/>
      <w:r w:rsidR="00700F50" w:rsidRPr="00C55698">
        <w:rPr>
          <w:b/>
        </w:rPr>
        <w:t xml:space="preserve"> </w:t>
      </w:r>
      <w:r>
        <w:rPr>
          <w:b/>
        </w:rPr>
        <w:t>3</w:t>
      </w:r>
      <w:r w:rsidR="00C55698" w:rsidRPr="00C55698">
        <w:rPr>
          <w:b/>
        </w:rPr>
        <w:t>.10</w:t>
      </w:r>
      <w:r>
        <w:rPr>
          <w:b/>
        </w:rPr>
        <w:t>2</w:t>
      </w:r>
      <w:r w:rsidR="00700F50">
        <w:t xml:space="preserve"> </w:t>
      </w:r>
      <w:r w:rsidR="00700F50" w:rsidRPr="00700F50">
        <w:rPr>
          <w:rFonts w:cstheme="minorHAnsi"/>
          <w:color w:val="141414"/>
        </w:rPr>
        <w:t>statt.</w:t>
      </w:r>
      <w:r w:rsidR="00700F50">
        <w:rPr>
          <w:rFonts w:cstheme="minorHAnsi"/>
          <w:color w:val="141414"/>
        </w:rPr>
        <w:t xml:space="preserve"> </w:t>
      </w:r>
      <w:r w:rsidR="00700F50" w:rsidRPr="008E53EE">
        <w:rPr>
          <w:rFonts w:cstheme="minorHAnsi"/>
          <w:color w:val="141414"/>
        </w:rPr>
        <w:t xml:space="preserve">Im Rahmen der Vorbesprechung werden die </w:t>
      </w:r>
      <w:r w:rsidR="00700F50">
        <w:rPr>
          <w:rFonts w:cstheme="minorHAnsi"/>
          <w:color w:val="141414"/>
        </w:rPr>
        <w:t>weiteren Modalitäten</w:t>
      </w:r>
      <w:r>
        <w:rPr>
          <w:rFonts w:cstheme="minorHAnsi"/>
          <w:color w:val="141414"/>
        </w:rPr>
        <w:t xml:space="preserve"> der Exkursion</w:t>
      </w:r>
      <w:r w:rsidR="00700F50" w:rsidRPr="008E53EE">
        <w:rPr>
          <w:rFonts w:cstheme="minorHAnsi"/>
          <w:color w:val="141414"/>
        </w:rPr>
        <w:t xml:space="preserve"> besprochen.</w:t>
      </w:r>
      <w:r w:rsidR="00700F50">
        <w:rPr>
          <w:rFonts w:cstheme="minorHAnsi"/>
          <w:color w:val="141414"/>
        </w:rPr>
        <w:t xml:space="preserve"> </w:t>
      </w:r>
      <w:r w:rsidR="00700F50" w:rsidRPr="008E53EE">
        <w:rPr>
          <w:rFonts w:cstheme="minorHAnsi"/>
          <w:color w:val="141414"/>
        </w:rPr>
        <w:t xml:space="preserve">Soweit Sie Interesse </w:t>
      </w:r>
      <w:r w:rsidR="0090247C">
        <w:rPr>
          <w:rFonts w:cstheme="minorHAnsi"/>
          <w:color w:val="141414"/>
        </w:rPr>
        <w:t>haben,</w:t>
      </w:r>
      <w:r w:rsidR="00700F50" w:rsidRPr="008E53EE">
        <w:rPr>
          <w:rFonts w:cstheme="minorHAnsi"/>
          <w:color w:val="141414"/>
        </w:rPr>
        <w:t xml:space="preserve"> an der Vorbesprechung </w:t>
      </w:r>
      <w:r w:rsidR="0090247C">
        <w:rPr>
          <w:rFonts w:cstheme="minorHAnsi"/>
          <w:color w:val="141414"/>
        </w:rPr>
        <w:t>teilzunehmen</w:t>
      </w:r>
      <w:r w:rsidR="00700F50" w:rsidRPr="008E53EE">
        <w:rPr>
          <w:rFonts w:cstheme="minorHAnsi"/>
          <w:color w:val="141414"/>
        </w:rPr>
        <w:t xml:space="preserve">, schicken Sie bitte eine E-Mail an </w:t>
      </w:r>
      <w:hyperlink r:id="rId7" w:history="1">
        <w:r w:rsidR="0090247C" w:rsidRPr="001D2FA2">
          <w:rPr>
            <w:rStyle w:val="Hyperlink"/>
            <w:rFonts w:cstheme="minorHAnsi"/>
          </w:rPr>
          <w:t>mann@jur.uni-frankfurt.de</w:t>
        </w:r>
      </w:hyperlink>
      <w:r w:rsidR="00700F50">
        <w:rPr>
          <w:rFonts w:cstheme="minorHAnsi"/>
          <w:color w:val="141414"/>
        </w:rPr>
        <w:t xml:space="preserve">. </w:t>
      </w:r>
      <w:r>
        <w:rPr>
          <w:rFonts w:cstheme="minorHAnsi"/>
          <w:color w:val="141414"/>
        </w:rPr>
        <w:t xml:space="preserve">Geben Sie in der Anmeldung zur Vorbesprechung bitte ihr Fachsemester </w:t>
      </w:r>
      <w:r w:rsidR="0090247C">
        <w:rPr>
          <w:rFonts w:cstheme="minorHAnsi"/>
          <w:color w:val="141414"/>
        </w:rPr>
        <w:t xml:space="preserve">an und ob Sie bereits Schwerpunkveranstaltungen im Arbeitsrecht (Kolloquium oder Seminar) besucht haben.  </w:t>
      </w:r>
      <w:r w:rsidR="00700F50">
        <w:rPr>
          <w:rFonts w:cstheme="minorHAnsi"/>
          <w:color w:val="141414"/>
        </w:rPr>
        <w:t>D</w:t>
      </w:r>
      <w:r>
        <w:rPr>
          <w:rFonts w:cstheme="minorHAnsi"/>
          <w:color w:val="141414"/>
        </w:rPr>
        <w:t xml:space="preserve">ie Exkursion nach Genf findet vom </w:t>
      </w:r>
      <w:r w:rsidRPr="000A32AA">
        <w:rPr>
          <w:rFonts w:cstheme="minorHAnsi"/>
          <w:b/>
          <w:color w:val="141414"/>
        </w:rPr>
        <w:t>15</w:t>
      </w:r>
      <w:r>
        <w:rPr>
          <w:rFonts w:cstheme="minorHAnsi"/>
          <w:b/>
          <w:color w:val="141414"/>
        </w:rPr>
        <w:t>.</w:t>
      </w:r>
      <w:r w:rsidRPr="000A32AA">
        <w:rPr>
          <w:rFonts w:cstheme="minorHAnsi"/>
          <w:b/>
          <w:color w:val="141414"/>
        </w:rPr>
        <w:t xml:space="preserve"> April bis zum 17. April 2024</w:t>
      </w:r>
      <w:r>
        <w:rPr>
          <w:rFonts w:cstheme="minorHAnsi"/>
          <w:color w:val="141414"/>
        </w:rPr>
        <w:t xml:space="preserve"> </w:t>
      </w:r>
      <w:r w:rsidR="00700F50">
        <w:rPr>
          <w:rFonts w:cstheme="minorHAnsi"/>
          <w:color w:val="141414"/>
        </w:rPr>
        <w:t>statt.</w:t>
      </w:r>
      <w:r>
        <w:rPr>
          <w:rFonts w:cstheme="minorHAnsi"/>
          <w:color w:val="141414"/>
        </w:rPr>
        <w:t xml:space="preserve"> Die Seminarleistung umfasst die Teilnahme an der Exkursion nach Genf sowie das Anfertigen einer Seminararbeit. </w:t>
      </w:r>
      <w:r w:rsidR="00491AFE">
        <w:rPr>
          <w:rFonts w:cstheme="minorHAnsi"/>
          <w:color w:val="141414"/>
        </w:rPr>
        <w:t xml:space="preserve">Die Themen für die Seminararbeiten werden im Laufe der Exkursion entwickelt. </w:t>
      </w:r>
      <w:r w:rsidR="000D7509">
        <w:rPr>
          <w:rFonts w:cstheme="minorHAnsi"/>
          <w:color w:val="141414"/>
        </w:rPr>
        <w:t>Die Seminararbeiten werden im Anschluss an die Exkursion geschrieben. Einen weiteren Präsenztermin am Ende des Sommersemesters wird es nicht geben.</w:t>
      </w:r>
    </w:p>
    <w:sectPr w:rsidR="00700F50" w:rsidRPr="00491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B958" w14:textId="77777777" w:rsidR="00733FE5" w:rsidRDefault="00733FE5" w:rsidP="00700F50">
      <w:pPr>
        <w:spacing w:after="0" w:line="240" w:lineRule="auto"/>
      </w:pPr>
      <w:r>
        <w:separator/>
      </w:r>
    </w:p>
  </w:endnote>
  <w:endnote w:type="continuationSeparator" w:id="0">
    <w:p w14:paraId="58AF3FF5" w14:textId="77777777" w:rsidR="00733FE5" w:rsidRDefault="00733FE5" w:rsidP="0070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E7D2" w14:textId="77777777" w:rsidR="0090247C" w:rsidRDefault="009024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716E" w14:textId="77777777" w:rsidR="0090247C" w:rsidRDefault="009024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7BB4" w14:textId="77777777" w:rsidR="0090247C" w:rsidRDefault="009024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9CD6" w14:textId="77777777" w:rsidR="00733FE5" w:rsidRDefault="00733FE5" w:rsidP="00700F50">
      <w:pPr>
        <w:spacing w:after="0" w:line="240" w:lineRule="auto"/>
      </w:pPr>
      <w:r>
        <w:separator/>
      </w:r>
    </w:p>
  </w:footnote>
  <w:footnote w:type="continuationSeparator" w:id="0">
    <w:p w14:paraId="78F3ADF9" w14:textId="77777777" w:rsidR="00733FE5" w:rsidRDefault="00733FE5" w:rsidP="0070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8607" w14:textId="77777777" w:rsidR="0090247C" w:rsidRDefault="009024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A398" w14:textId="77777777" w:rsidR="0090247C" w:rsidRDefault="000A32AA" w:rsidP="0090247C">
    <w:pPr>
      <w:tabs>
        <w:tab w:val="center" w:pos="4536"/>
        <w:tab w:val="right" w:pos="9072"/>
      </w:tabs>
      <w:spacing w:after="0" w:line="240" w:lineRule="auto"/>
      <w:rPr>
        <w:rFonts w:cs="Times New Roman"/>
        <w:color w:val="A6A6A6" w:themeColor="background1" w:themeShade="A6"/>
        <w:sz w:val="18"/>
      </w:rPr>
    </w:pPr>
    <w:r w:rsidRPr="004E6ABC">
      <w:rPr>
        <w:rFonts w:cs="Times New Roman"/>
        <w:noProof/>
        <w:color w:val="FFFFFF" w:themeColor="background1"/>
        <w:sz w:val="20"/>
        <w:u w:val="single"/>
        <w:lang w:eastAsia="zh-TW"/>
      </w:rPr>
      <w:drawing>
        <wp:anchor distT="0" distB="0" distL="114300" distR="114300" simplePos="0" relativeHeight="251659264" behindDoc="0" locked="0" layoutInCell="1" allowOverlap="1" wp14:anchorId="241E0D88" wp14:editId="2FF9E14A">
          <wp:simplePos x="0" y="0"/>
          <wp:positionH relativeFrom="margin">
            <wp:align>right</wp:align>
          </wp:positionH>
          <wp:positionV relativeFrom="paragraph">
            <wp:posOffset>-195553</wp:posOffset>
          </wp:positionV>
          <wp:extent cx="720000" cy="648000"/>
          <wp:effectExtent l="0" t="0" r="444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akt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6ABC">
      <w:rPr>
        <w:rFonts w:cs="Times New Roman"/>
        <w:color w:val="A6A6A6" w:themeColor="background1" w:themeShade="A6"/>
        <w:sz w:val="18"/>
      </w:rPr>
      <w:t>Prof. Dr. Bernd Waas, Lehrstuhl für Arbeitsrecht und Bürgerliches Recht</w:t>
    </w:r>
  </w:p>
  <w:p w14:paraId="58BEC866" w14:textId="77777777" w:rsidR="000A32AA" w:rsidRDefault="0090247C" w:rsidP="0090247C">
    <w:pPr>
      <w:tabs>
        <w:tab w:val="center" w:pos="4536"/>
        <w:tab w:val="right" w:pos="9072"/>
      </w:tabs>
      <w:spacing w:after="0" w:line="240" w:lineRule="auto"/>
      <w:rPr>
        <w:rFonts w:cs="Times New Roman"/>
        <w:color w:val="A6A6A6" w:themeColor="background1" w:themeShade="A6"/>
        <w:sz w:val="18"/>
      </w:rPr>
    </w:pPr>
    <w:r>
      <w:rPr>
        <w:rFonts w:cs="Times New Roman"/>
        <w:color w:val="A6A6A6" w:themeColor="background1" w:themeShade="A6"/>
        <w:sz w:val="18"/>
      </w:rPr>
      <w:t>Sommersemester 20</w:t>
    </w:r>
    <w:r w:rsidR="000A32AA">
      <w:rPr>
        <w:rFonts w:cs="Times New Roman"/>
        <w:color w:val="A6A6A6" w:themeColor="background1" w:themeShade="A6"/>
        <w:sz w:val="18"/>
      </w:rPr>
      <w:t>24</w:t>
    </w:r>
  </w:p>
  <w:p w14:paraId="2A1AC427" w14:textId="77777777" w:rsidR="000A32AA" w:rsidRDefault="000A32AA">
    <w:pPr>
      <w:pStyle w:val="Kopfzeile"/>
    </w:pPr>
  </w:p>
  <w:p w14:paraId="5FE3D080" w14:textId="77777777" w:rsidR="000A32AA" w:rsidRDefault="000A32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B21C" w14:textId="77777777" w:rsidR="0090247C" w:rsidRDefault="009024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F21"/>
    <w:multiLevelType w:val="multilevel"/>
    <w:tmpl w:val="B61005C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2B3214"/>
    <w:multiLevelType w:val="hybridMultilevel"/>
    <w:tmpl w:val="CCA8C1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76B3"/>
    <w:multiLevelType w:val="hybridMultilevel"/>
    <w:tmpl w:val="11EE5480"/>
    <w:lvl w:ilvl="0" w:tplc="93BAD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5DF7"/>
    <w:multiLevelType w:val="hybridMultilevel"/>
    <w:tmpl w:val="E4AEA72A"/>
    <w:lvl w:ilvl="0" w:tplc="93BAD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462F"/>
    <w:multiLevelType w:val="hybridMultilevel"/>
    <w:tmpl w:val="963CF3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3659"/>
    <w:multiLevelType w:val="hybridMultilevel"/>
    <w:tmpl w:val="70C80702"/>
    <w:lvl w:ilvl="0" w:tplc="9F5AA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56D9E"/>
    <w:multiLevelType w:val="hybridMultilevel"/>
    <w:tmpl w:val="F0688B22"/>
    <w:lvl w:ilvl="0" w:tplc="93BAD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923E6"/>
    <w:multiLevelType w:val="hybridMultilevel"/>
    <w:tmpl w:val="CDB67076"/>
    <w:lvl w:ilvl="0" w:tplc="93BAD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8126E"/>
    <w:multiLevelType w:val="hybridMultilevel"/>
    <w:tmpl w:val="61322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F15E0"/>
    <w:multiLevelType w:val="hybridMultilevel"/>
    <w:tmpl w:val="E34A3A8E"/>
    <w:lvl w:ilvl="0" w:tplc="93BAD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858574">
    <w:abstractNumId w:val="4"/>
  </w:num>
  <w:num w:numId="2" w16cid:durableId="649871431">
    <w:abstractNumId w:val="5"/>
  </w:num>
  <w:num w:numId="3" w16cid:durableId="781143548">
    <w:abstractNumId w:val="1"/>
  </w:num>
  <w:num w:numId="4" w16cid:durableId="123694654">
    <w:abstractNumId w:val="0"/>
  </w:num>
  <w:num w:numId="5" w16cid:durableId="1042438751">
    <w:abstractNumId w:val="8"/>
  </w:num>
  <w:num w:numId="6" w16cid:durableId="1304309850">
    <w:abstractNumId w:val="3"/>
  </w:num>
  <w:num w:numId="7" w16cid:durableId="1272401337">
    <w:abstractNumId w:val="9"/>
  </w:num>
  <w:num w:numId="8" w16cid:durableId="2118215050">
    <w:abstractNumId w:val="7"/>
  </w:num>
  <w:num w:numId="9" w16cid:durableId="642273892">
    <w:abstractNumId w:val="6"/>
  </w:num>
  <w:num w:numId="10" w16cid:durableId="1408382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50"/>
    <w:rsid w:val="00065696"/>
    <w:rsid w:val="000A32AA"/>
    <w:rsid w:val="000D7509"/>
    <w:rsid w:val="004877CE"/>
    <w:rsid w:val="00491AFE"/>
    <w:rsid w:val="004A00A6"/>
    <w:rsid w:val="004F6E51"/>
    <w:rsid w:val="00544553"/>
    <w:rsid w:val="006836D8"/>
    <w:rsid w:val="00700F50"/>
    <w:rsid w:val="00733FE5"/>
    <w:rsid w:val="007404DB"/>
    <w:rsid w:val="00837E22"/>
    <w:rsid w:val="0090247C"/>
    <w:rsid w:val="00947BBD"/>
    <w:rsid w:val="00AA3DED"/>
    <w:rsid w:val="00B10D03"/>
    <w:rsid w:val="00C55698"/>
    <w:rsid w:val="00D2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22F01"/>
  <w15:chartTrackingRefBased/>
  <w15:docId w15:val="{E580A54F-00C2-4219-B078-0BE83C17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0F50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F50"/>
  </w:style>
  <w:style w:type="paragraph" w:styleId="Fuzeile">
    <w:name w:val="footer"/>
    <w:basedOn w:val="Standard"/>
    <w:link w:val="FuzeileZchn"/>
    <w:uiPriority w:val="99"/>
    <w:unhideWhenUsed/>
    <w:rsid w:val="0070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F50"/>
  </w:style>
  <w:style w:type="character" w:customStyle="1" w:styleId="gericht">
    <w:name w:val="gericht"/>
    <w:basedOn w:val="Absatz-Standardschriftart"/>
    <w:rsid w:val="00700F50"/>
  </w:style>
  <w:style w:type="paragraph" w:styleId="Listenabsatz">
    <w:name w:val="List Paragraph"/>
    <w:basedOn w:val="Standard"/>
    <w:uiPriority w:val="34"/>
    <w:qFormat/>
    <w:rsid w:val="00700F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0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nn@jur.uni-frankfur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Mann</dc:creator>
  <cp:keywords/>
  <dc:description/>
  <cp:lastModifiedBy>kjq5zfw1ug@goetheuniversitaet.onmicrosoft.com</cp:lastModifiedBy>
  <cp:revision>2</cp:revision>
  <dcterms:created xsi:type="dcterms:W3CDTF">2023-12-18T07:33:00Z</dcterms:created>
  <dcterms:modified xsi:type="dcterms:W3CDTF">2023-12-18T07:33:00Z</dcterms:modified>
</cp:coreProperties>
</file>